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2DC4" w:rsidRPr="009B0068" w:rsidRDefault="00842DC4" w:rsidP="00842DC4">
      <w:pPr>
        <w:pStyle w:val="Heading1"/>
        <w:keepNext w:val="0"/>
        <w:keepLines w:val="0"/>
        <w:bidi/>
        <w:rPr>
          <w:rFonts w:ascii="David" w:hAnsi="David"/>
          <w:sz w:val="24"/>
          <w:szCs w:val="24"/>
        </w:rPr>
      </w:pPr>
      <w:bookmarkStart w:id="0" w:name="_GoBack"/>
      <w:bookmarkEnd w:id="0"/>
      <w:r w:rsidRPr="009B0068">
        <w:rPr>
          <w:rFonts w:ascii="David" w:hAnsi="David"/>
          <w:sz w:val="24"/>
          <w:szCs w:val="24"/>
          <w:rtl/>
        </w:rPr>
        <w:t>טיוטת כללים</w:t>
      </w:r>
    </w:p>
    <w:p w:rsidR="00842DC4" w:rsidRPr="009B0068" w:rsidRDefault="00842DC4" w:rsidP="00842DC4">
      <w:pPr>
        <w:bidi/>
        <w:rPr>
          <w:rtl/>
        </w:rPr>
      </w:pPr>
    </w:p>
    <w:p w:rsidR="00842DC4" w:rsidRPr="009B0068" w:rsidRDefault="00842DC4" w:rsidP="00842DC4">
      <w:pPr>
        <w:pStyle w:val="Heading4"/>
        <w:bidi/>
        <w:rPr>
          <w:szCs w:val="24"/>
          <w:rtl/>
        </w:rPr>
      </w:pPr>
      <w:r w:rsidRPr="009B0068">
        <w:rPr>
          <w:szCs w:val="24"/>
          <w:rtl/>
        </w:rPr>
        <w:t>שם הכללים המוצעים</w:t>
      </w:r>
    </w:p>
    <w:p w:rsidR="00842DC4" w:rsidRPr="009B0068" w:rsidRDefault="00842DC4" w:rsidP="00EC7781">
      <w:pPr>
        <w:bidi/>
        <w:jc w:val="both"/>
        <w:rPr>
          <w:rtl/>
        </w:rPr>
      </w:pPr>
      <w:r w:rsidRPr="009B0068">
        <w:rPr>
          <w:rtl/>
        </w:rPr>
        <w:t>כללי קידום התחרות בענף המזון (פטור לפעולות ולהסדרים שעניינם סידור מצרכים בחנות של קמעונאי גדול) (הוראת שעה), תשפ"ד-2024</w:t>
      </w:r>
    </w:p>
    <w:p w:rsidR="00842DC4" w:rsidRPr="009B0068" w:rsidRDefault="00842DC4" w:rsidP="00842DC4">
      <w:pPr>
        <w:bidi/>
        <w:rPr>
          <w:rtl/>
        </w:rPr>
      </w:pPr>
    </w:p>
    <w:p w:rsidR="00842DC4" w:rsidRPr="009B0068" w:rsidRDefault="00842DC4" w:rsidP="00842DC4">
      <w:pPr>
        <w:pStyle w:val="Heading4"/>
        <w:bidi/>
        <w:rPr>
          <w:szCs w:val="24"/>
          <w:rtl/>
        </w:rPr>
      </w:pPr>
      <w:r w:rsidRPr="009B0068">
        <w:rPr>
          <w:szCs w:val="24"/>
          <w:rtl/>
        </w:rPr>
        <w:t xml:space="preserve">מטרת הכללים המוצעים והצורך בהם </w:t>
      </w:r>
    </w:p>
    <w:p w:rsidR="00842DC4" w:rsidRPr="009B0068" w:rsidRDefault="00842DC4" w:rsidP="00EC7781">
      <w:pPr>
        <w:bidi/>
        <w:jc w:val="both"/>
        <w:rPr>
          <w:rtl/>
        </w:rPr>
      </w:pPr>
      <w:r w:rsidRPr="009B0068">
        <w:rPr>
          <w:rtl/>
        </w:rPr>
        <w:t xml:space="preserve">מוצע להאריך את תוקפם של כללי קידום התחרות בענף המזון (פטור לפעולות ולהסדרים שעניינם סידור מצרכים בחנות של קמעונאי גדול) (הוראת שעה), התשע"ז-2017, עד לסוף שנת 2024 ולהציע כללים חדשים שיכנסו לתוקפם החל מיום 1 בינואר 2025.  </w:t>
      </w:r>
    </w:p>
    <w:p w:rsidR="00842DC4" w:rsidRPr="009B0068" w:rsidRDefault="00842DC4" w:rsidP="00842DC4">
      <w:pPr>
        <w:bidi/>
        <w:rPr>
          <w:rtl/>
        </w:rPr>
      </w:pPr>
    </w:p>
    <w:p w:rsidR="00842DC4" w:rsidRPr="009B0068" w:rsidRDefault="00842DC4" w:rsidP="00842DC4">
      <w:pPr>
        <w:pStyle w:val="Heading4"/>
        <w:bidi/>
        <w:rPr>
          <w:szCs w:val="24"/>
          <w:rtl/>
        </w:rPr>
      </w:pPr>
      <w:r w:rsidRPr="009B0068">
        <w:rPr>
          <w:szCs w:val="24"/>
          <w:rtl/>
        </w:rPr>
        <w:t xml:space="preserve">להלן נוסח טיוטת הכללים המוצעים: </w:t>
      </w:r>
    </w:p>
    <w:p w:rsidR="00842DC4" w:rsidRPr="009B0068" w:rsidRDefault="00842DC4" w:rsidP="00842DC4">
      <w:pPr>
        <w:bidi/>
      </w:pPr>
      <w:r w:rsidRPr="009B0068">
        <w:rPr>
          <w:rtl/>
        </w:rPr>
        <w:br w:type="page"/>
      </w:r>
    </w:p>
    <w:p w:rsidR="00842DC4" w:rsidRPr="009B0068" w:rsidRDefault="00842DC4" w:rsidP="00842DC4">
      <w:pPr>
        <w:pStyle w:val="HeadHatzaotHok"/>
        <w:bidi/>
        <w:rPr>
          <w:rFonts w:ascii="David" w:hAnsi="David"/>
          <w:sz w:val="24"/>
          <w:szCs w:val="24"/>
          <w:rtl/>
        </w:rPr>
      </w:pPr>
      <w:bookmarkStart w:id="1" w:name="_Toc27471879"/>
      <w:bookmarkStart w:id="2" w:name="_Toc39403446"/>
      <w:r w:rsidRPr="009B0068">
        <w:rPr>
          <w:rFonts w:ascii="David" w:hAnsi="David"/>
          <w:sz w:val="24"/>
          <w:szCs w:val="24"/>
          <w:rtl/>
        </w:rPr>
        <w:lastRenderedPageBreak/>
        <w:t xml:space="preserve">כללי </w:t>
      </w:r>
      <w:bookmarkEnd w:id="1"/>
      <w:bookmarkEnd w:id="2"/>
      <w:r w:rsidRPr="009B0068">
        <w:rPr>
          <w:rFonts w:ascii="David" w:hAnsi="David"/>
          <w:sz w:val="24"/>
          <w:szCs w:val="24"/>
          <w:rtl/>
        </w:rPr>
        <w:t>קידום התחרות בענף המזון (פטור לפעולות ולהסדרים שעניינם סידור מצרכים בחנות של קמעונאי גדול) (הוראת שעה), תשפ"ד-2024</w:t>
      </w:r>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7146"/>
      </w:tblGrid>
      <w:tr w:rsidR="00842DC4" w:rsidRPr="009B0068" w:rsidTr="000B17CF">
        <w:trPr>
          <w:cantSplit/>
          <w:trHeight w:val="60"/>
        </w:trPr>
        <w:tc>
          <w:tcPr>
            <w:tcW w:w="1871" w:type="dxa"/>
          </w:tcPr>
          <w:p w:rsidR="00842DC4" w:rsidRPr="009B0068" w:rsidRDefault="00842DC4" w:rsidP="000B17CF">
            <w:pPr>
              <w:pStyle w:val="TableSideHeading"/>
              <w:bidi/>
              <w:rPr>
                <w:rFonts w:ascii="David" w:hAnsi="David"/>
                <w:sz w:val="24"/>
                <w:szCs w:val="24"/>
                <w:rtl/>
              </w:rPr>
            </w:pPr>
          </w:p>
        </w:tc>
        <w:tc>
          <w:tcPr>
            <w:tcW w:w="624" w:type="dxa"/>
          </w:tcPr>
          <w:p w:rsidR="00842DC4" w:rsidRPr="009B0068" w:rsidRDefault="00842DC4" w:rsidP="000B17CF">
            <w:pPr>
              <w:pStyle w:val="TableText"/>
              <w:bidi/>
              <w:rPr>
                <w:rFonts w:ascii="David" w:hAnsi="David"/>
                <w:sz w:val="24"/>
                <w:szCs w:val="24"/>
              </w:rPr>
            </w:pPr>
          </w:p>
        </w:tc>
        <w:tc>
          <w:tcPr>
            <w:tcW w:w="7146" w:type="dxa"/>
            <w:hideMark/>
          </w:tcPr>
          <w:p w:rsidR="00842DC4" w:rsidRPr="009B0068" w:rsidRDefault="00842DC4" w:rsidP="000B17CF">
            <w:pPr>
              <w:pStyle w:val="TableBlock"/>
              <w:bidi/>
              <w:rPr>
                <w:rFonts w:ascii="David" w:hAnsi="David"/>
                <w:sz w:val="24"/>
                <w:szCs w:val="24"/>
                <w:rtl/>
              </w:rPr>
            </w:pPr>
            <w:r w:rsidRPr="009B0068">
              <w:rPr>
                <w:rFonts w:ascii="David" w:hAnsi="David"/>
                <w:sz w:val="24"/>
                <w:szCs w:val="24"/>
                <w:rtl/>
              </w:rPr>
              <w:t>בתוקף סמכותי לפי סעיף 7(ג) לחוק קידום התחרות בענף המזון, התשע"ד-2014 (להלן – החוק), אני קובעת כללים אלה:</w:t>
            </w:r>
          </w:p>
        </w:tc>
      </w:tr>
      <w:tr w:rsidR="00842DC4" w:rsidRPr="009B0068" w:rsidTr="000B17CF">
        <w:trPr>
          <w:cantSplit/>
          <w:trHeight w:val="60"/>
        </w:trPr>
        <w:tc>
          <w:tcPr>
            <w:tcW w:w="1871" w:type="dxa"/>
          </w:tcPr>
          <w:p w:rsidR="00842DC4" w:rsidRPr="009B0068" w:rsidRDefault="00842DC4" w:rsidP="000B17CF">
            <w:pPr>
              <w:pStyle w:val="TableSideHeading"/>
              <w:bidi/>
              <w:rPr>
                <w:rFonts w:ascii="David" w:hAnsi="David"/>
                <w:sz w:val="24"/>
                <w:szCs w:val="24"/>
              </w:rPr>
            </w:pPr>
          </w:p>
        </w:tc>
        <w:tc>
          <w:tcPr>
            <w:tcW w:w="624" w:type="dxa"/>
          </w:tcPr>
          <w:p w:rsidR="00842DC4" w:rsidRPr="009B0068" w:rsidRDefault="00842DC4" w:rsidP="000B17CF">
            <w:pPr>
              <w:pStyle w:val="TableText"/>
              <w:bidi/>
              <w:rPr>
                <w:rFonts w:ascii="David" w:hAnsi="David"/>
                <w:sz w:val="24"/>
                <w:szCs w:val="24"/>
              </w:rPr>
            </w:pPr>
          </w:p>
        </w:tc>
        <w:tc>
          <w:tcPr>
            <w:tcW w:w="7146" w:type="dxa"/>
          </w:tcPr>
          <w:p w:rsidR="00842DC4" w:rsidRPr="009B0068" w:rsidRDefault="00842DC4" w:rsidP="000B17CF">
            <w:pPr>
              <w:pStyle w:val="TableHead"/>
              <w:bidi/>
              <w:rPr>
                <w:rFonts w:ascii="David" w:hAnsi="David"/>
                <w:sz w:val="24"/>
                <w:szCs w:val="24"/>
              </w:rPr>
            </w:pPr>
          </w:p>
        </w:tc>
      </w:tr>
      <w:tr w:rsidR="00842DC4" w:rsidRPr="009B0068" w:rsidTr="000B17CF">
        <w:trPr>
          <w:cantSplit/>
          <w:trHeight w:val="60"/>
        </w:trPr>
        <w:tc>
          <w:tcPr>
            <w:tcW w:w="1871" w:type="dxa"/>
          </w:tcPr>
          <w:p w:rsidR="00842DC4" w:rsidRPr="009B0068" w:rsidRDefault="00842DC4" w:rsidP="000B17CF">
            <w:pPr>
              <w:pStyle w:val="TableSideHeading"/>
              <w:bidi/>
              <w:rPr>
                <w:rFonts w:ascii="David" w:hAnsi="David"/>
                <w:sz w:val="24"/>
                <w:szCs w:val="24"/>
                <w:rtl/>
              </w:rPr>
            </w:pPr>
            <w:r w:rsidRPr="009B0068">
              <w:rPr>
                <w:rFonts w:ascii="David" w:hAnsi="David"/>
                <w:sz w:val="24"/>
                <w:szCs w:val="24"/>
                <w:rtl/>
              </w:rPr>
              <w:t>הגדרות</w:t>
            </w:r>
          </w:p>
        </w:tc>
        <w:tc>
          <w:tcPr>
            <w:tcW w:w="624" w:type="dxa"/>
          </w:tcPr>
          <w:p w:rsidR="00842DC4" w:rsidRPr="009B0068" w:rsidRDefault="00842DC4" w:rsidP="000B17CF">
            <w:pPr>
              <w:pStyle w:val="TableText"/>
              <w:numPr>
                <w:ilvl w:val="0"/>
                <w:numId w:val="2"/>
              </w:numPr>
              <w:bidi/>
              <w:rPr>
                <w:rFonts w:ascii="David" w:hAnsi="David"/>
                <w:sz w:val="24"/>
                <w:szCs w:val="24"/>
              </w:rPr>
            </w:pPr>
          </w:p>
        </w:tc>
        <w:tc>
          <w:tcPr>
            <w:tcW w:w="7146" w:type="dxa"/>
          </w:tcPr>
          <w:p w:rsidR="00842DC4" w:rsidRPr="009B0068" w:rsidRDefault="00842DC4" w:rsidP="00842DC4">
            <w:pPr>
              <w:pStyle w:val="P00"/>
              <w:spacing w:before="72"/>
              <w:ind w:left="0" w:right="142"/>
              <w:rPr>
                <w:rStyle w:val="default"/>
                <w:rFonts w:ascii="David" w:hAnsi="David" w:cs="David"/>
                <w:sz w:val="24"/>
                <w:szCs w:val="24"/>
                <w:rtl/>
              </w:rPr>
            </w:pPr>
            <w:r w:rsidRPr="009B0068">
              <w:rPr>
                <w:rStyle w:val="default"/>
                <w:rFonts w:ascii="David" w:hAnsi="David" w:cs="David"/>
                <w:sz w:val="24"/>
                <w:szCs w:val="24"/>
                <w:rtl/>
              </w:rPr>
              <w:t>בכללים אלה –</w:t>
            </w:r>
          </w:p>
          <w:p w:rsidR="00842DC4" w:rsidRPr="009B0068" w:rsidRDefault="00842DC4" w:rsidP="00842DC4">
            <w:pPr>
              <w:pStyle w:val="P00"/>
              <w:spacing w:before="72"/>
              <w:ind w:left="0" w:right="142"/>
              <w:rPr>
                <w:rStyle w:val="default"/>
                <w:rFonts w:ascii="David" w:hAnsi="David" w:cs="David"/>
                <w:sz w:val="24"/>
                <w:szCs w:val="24"/>
                <w:rtl/>
              </w:rPr>
            </w:pPr>
            <w:r w:rsidRPr="009B0068">
              <w:rPr>
                <w:rStyle w:val="default"/>
                <w:rFonts w:ascii="David" w:hAnsi="David" w:cs="David"/>
                <w:sz w:val="24"/>
                <w:szCs w:val="24"/>
                <w:rtl/>
              </w:rPr>
              <w:t>"התקופה הקובעת" – שנת הכספים הקודמת לשנה שלגביה חל הפטור;</w:t>
            </w:r>
          </w:p>
          <w:p w:rsidR="00842DC4" w:rsidRPr="009B0068" w:rsidRDefault="00842DC4" w:rsidP="00842DC4">
            <w:pPr>
              <w:pStyle w:val="P00"/>
              <w:spacing w:before="72"/>
              <w:ind w:left="0" w:right="142"/>
              <w:rPr>
                <w:rStyle w:val="default"/>
                <w:rFonts w:ascii="David" w:hAnsi="David" w:cs="David"/>
                <w:b/>
                <w:bCs/>
                <w:sz w:val="24"/>
                <w:szCs w:val="24"/>
              </w:rPr>
            </w:pPr>
            <w:r w:rsidRPr="009B0068">
              <w:rPr>
                <w:rStyle w:val="default"/>
                <w:rFonts w:ascii="David" w:hAnsi="David" w:cs="David"/>
                <w:sz w:val="24"/>
                <w:szCs w:val="24"/>
                <w:rtl/>
              </w:rPr>
              <w:t>"סך המכירות" – ערך המכירות הכולל, בלא מס ערך מוסף ובלא מס קנייה, למעט מכירות של ירקות ופירות טריים;</w:t>
            </w:r>
          </w:p>
          <w:p w:rsidR="00842DC4" w:rsidRPr="009B0068" w:rsidRDefault="00842DC4" w:rsidP="0032691A">
            <w:pPr>
              <w:pStyle w:val="P00"/>
              <w:spacing w:before="72"/>
              <w:ind w:left="0" w:right="142"/>
              <w:rPr>
                <w:rFonts w:ascii="David" w:hAnsi="David" w:cs="David"/>
                <w:sz w:val="24"/>
                <w:szCs w:val="24"/>
              </w:rPr>
            </w:pPr>
            <w:r w:rsidRPr="009B0068">
              <w:rPr>
                <w:rStyle w:val="default"/>
                <w:rFonts w:ascii="David" w:hAnsi="David" w:cs="David"/>
                <w:sz w:val="24"/>
                <w:szCs w:val="24"/>
                <w:rtl/>
              </w:rPr>
              <w:t>"רשימה" – רשימה של הספקים הגדולים מתוך הרשימה כהגדרתה בסעיף 4 לחוק.</w:t>
            </w:r>
          </w:p>
        </w:tc>
      </w:tr>
      <w:tr w:rsidR="00842DC4" w:rsidRPr="009B0068" w:rsidTr="000B17CF">
        <w:trPr>
          <w:cantSplit/>
          <w:trHeight w:val="60"/>
        </w:trPr>
        <w:tc>
          <w:tcPr>
            <w:tcW w:w="1871" w:type="dxa"/>
          </w:tcPr>
          <w:p w:rsidR="00842DC4" w:rsidRPr="009B0068" w:rsidRDefault="00842DC4" w:rsidP="000B17CF">
            <w:pPr>
              <w:pStyle w:val="TableSideHeading"/>
              <w:bidi/>
              <w:rPr>
                <w:rFonts w:ascii="David" w:hAnsi="David"/>
                <w:sz w:val="24"/>
                <w:szCs w:val="24"/>
                <w:rtl/>
              </w:rPr>
            </w:pPr>
            <w:r w:rsidRPr="009B0068">
              <w:rPr>
                <w:rFonts w:ascii="David" w:hAnsi="David"/>
                <w:sz w:val="24"/>
                <w:szCs w:val="24"/>
                <w:rtl/>
              </w:rPr>
              <w:t>פטור בנוגע לסידור מצרכים אצל קמעונאי גדול</w:t>
            </w:r>
          </w:p>
        </w:tc>
        <w:tc>
          <w:tcPr>
            <w:tcW w:w="624" w:type="dxa"/>
          </w:tcPr>
          <w:p w:rsidR="00842DC4" w:rsidRPr="009B0068" w:rsidRDefault="00842DC4" w:rsidP="000B17CF">
            <w:pPr>
              <w:pStyle w:val="TableText"/>
              <w:numPr>
                <w:ilvl w:val="0"/>
                <w:numId w:val="2"/>
              </w:numPr>
              <w:bidi/>
              <w:rPr>
                <w:rFonts w:ascii="David" w:hAnsi="David"/>
                <w:sz w:val="24"/>
                <w:szCs w:val="24"/>
              </w:rPr>
            </w:pPr>
          </w:p>
        </w:tc>
        <w:tc>
          <w:tcPr>
            <w:tcW w:w="7146" w:type="dxa"/>
          </w:tcPr>
          <w:p w:rsidR="00842DC4" w:rsidRPr="009B0068" w:rsidRDefault="00842DC4" w:rsidP="00842DC4">
            <w:pPr>
              <w:pStyle w:val="P00"/>
              <w:spacing w:before="72"/>
              <w:ind w:left="624" w:right="142" w:hanging="624"/>
              <w:rPr>
                <w:rStyle w:val="default"/>
                <w:rFonts w:ascii="David" w:hAnsi="David" w:cs="David"/>
                <w:noProof w:val="0"/>
                <w:sz w:val="24"/>
                <w:szCs w:val="24"/>
                <w:rtl/>
              </w:rPr>
            </w:pPr>
            <w:r w:rsidRPr="009B0068">
              <w:rPr>
                <w:rStyle w:val="default"/>
                <w:rFonts w:ascii="David" w:hAnsi="David" w:cs="David"/>
                <w:sz w:val="24"/>
                <w:szCs w:val="24"/>
                <w:rtl/>
              </w:rPr>
              <w:t>(א)</w:t>
            </w:r>
            <w:r w:rsidRPr="009B0068">
              <w:rPr>
                <w:rStyle w:val="default"/>
                <w:rFonts w:ascii="David" w:hAnsi="David" w:cs="David"/>
                <w:sz w:val="24"/>
                <w:szCs w:val="24"/>
                <w:rtl/>
              </w:rPr>
              <w:tab/>
              <w:t>בכפוף לאמור בסעיף 3 לכללים אלה, קמעונאי גדול פטור במהלך שנת כספים מן האיסור הקבוע בסעיף 7(א)(2) לחוק אם בתקופה הקובעת למעלה מחמישים וחמישה אחוזים מסך המכירות שמכר הקמעונאי הגדול, בישראל, לא היו של מצרכים שסופקו בידי ספקים גדולים הנכללים ברשימה (בסעיף זה – האחוז הקובע);</w:t>
            </w:r>
          </w:p>
          <w:p w:rsidR="00842DC4" w:rsidRPr="009B0068" w:rsidRDefault="00842DC4" w:rsidP="00842DC4">
            <w:pPr>
              <w:pStyle w:val="P00"/>
              <w:spacing w:before="72"/>
              <w:ind w:left="624" w:right="142" w:hanging="624"/>
              <w:rPr>
                <w:rStyle w:val="default"/>
                <w:rFonts w:ascii="David" w:hAnsi="David" w:cs="David"/>
                <w:sz w:val="24"/>
                <w:szCs w:val="24"/>
                <w:rtl/>
              </w:rPr>
            </w:pPr>
            <w:r w:rsidRPr="009B0068">
              <w:rPr>
                <w:rStyle w:val="default"/>
                <w:rFonts w:ascii="David" w:hAnsi="David" w:cs="David"/>
                <w:sz w:val="24"/>
                <w:szCs w:val="24"/>
                <w:rtl/>
              </w:rPr>
              <w:t>(ב)   על אף האמור בסעיף (א)</w:t>
            </w:r>
            <w:r w:rsidR="004B1043">
              <w:rPr>
                <w:rStyle w:val="default"/>
                <w:rFonts w:ascii="David" w:hAnsi="David" w:cs="David" w:hint="cs"/>
                <w:sz w:val="24"/>
                <w:szCs w:val="24"/>
                <w:rtl/>
              </w:rPr>
              <w:t xml:space="preserve"> </w:t>
            </w:r>
            <w:r w:rsidRPr="009B0068">
              <w:rPr>
                <w:rStyle w:val="default"/>
                <w:rFonts w:ascii="David" w:hAnsi="David" w:cs="David"/>
                <w:sz w:val="24"/>
                <w:szCs w:val="24"/>
                <w:rtl/>
              </w:rPr>
              <w:t>האחוז הקובע יעלה בנקודת אחוז אחת בכל שנת כספים ב-1 בינואר באותה שנה החל מה-1 בינואר 2026 ועד ל-60%; הממונה יפרסם באתר האינטרנט הודעה על האחוז הקובע המעודכן לפי סעיף זה.</w:t>
            </w:r>
          </w:p>
          <w:p w:rsidR="00842DC4" w:rsidRPr="009B0068" w:rsidRDefault="00842DC4" w:rsidP="0032691A">
            <w:pPr>
              <w:pStyle w:val="P00"/>
              <w:spacing w:before="72"/>
              <w:ind w:left="624" w:right="142" w:hanging="624"/>
              <w:rPr>
                <w:rFonts w:ascii="David" w:hAnsi="David" w:cs="David"/>
                <w:sz w:val="24"/>
                <w:szCs w:val="24"/>
                <w:rtl/>
              </w:rPr>
            </w:pPr>
            <w:r w:rsidRPr="009B0068">
              <w:rPr>
                <w:rStyle w:val="default"/>
                <w:rFonts w:ascii="David" w:hAnsi="David" w:cs="David"/>
                <w:sz w:val="24"/>
                <w:szCs w:val="24"/>
                <w:rtl/>
              </w:rPr>
              <w:t>(ג)</w:t>
            </w:r>
            <w:r w:rsidRPr="009B0068">
              <w:rPr>
                <w:rStyle w:val="default"/>
                <w:rFonts w:ascii="David" w:hAnsi="David" w:cs="David"/>
                <w:sz w:val="24"/>
                <w:szCs w:val="24"/>
                <w:rtl/>
              </w:rPr>
              <w:tab/>
              <w:t>ספק גדול פטור מן האיסור הקבוע בסעיף 7(א)(1) לחוק, בכפוף לאמור בסעיף  3 לכללים אלה, לגבי כל חנויותיו של קמעונאי גדול, אם הקמעונאי הגדול מסר לו הצהרה בכתב, החתומה בידי מורשה חתימה של הקמעונאי הגדול, ולפיה הקמעונאי הגדול עומד בתנאי הקבוע בסעיף קטן (א).</w:t>
            </w:r>
          </w:p>
        </w:tc>
      </w:tr>
      <w:tr w:rsidR="00842DC4" w:rsidRPr="009B0068" w:rsidTr="000B17CF">
        <w:trPr>
          <w:cantSplit/>
          <w:trHeight w:val="60"/>
        </w:trPr>
        <w:tc>
          <w:tcPr>
            <w:tcW w:w="1871" w:type="dxa"/>
          </w:tcPr>
          <w:p w:rsidR="00842DC4" w:rsidRPr="009B0068" w:rsidRDefault="00842DC4" w:rsidP="000B17CF">
            <w:pPr>
              <w:pStyle w:val="TableSideHeading"/>
              <w:bidi/>
              <w:rPr>
                <w:rFonts w:ascii="David" w:hAnsi="David"/>
                <w:sz w:val="24"/>
                <w:szCs w:val="24"/>
                <w:rtl/>
              </w:rPr>
            </w:pPr>
            <w:r w:rsidRPr="009B0068">
              <w:rPr>
                <w:rFonts w:ascii="David" w:hAnsi="David"/>
                <w:sz w:val="24"/>
                <w:szCs w:val="24"/>
                <w:rtl/>
              </w:rPr>
              <w:t>תנאים לתחולת הפטורים</w:t>
            </w:r>
          </w:p>
        </w:tc>
        <w:tc>
          <w:tcPr>
            <w:tcW w:w="624" w:type="dxa"/>
          </w:tcPr>
          <w:p w:rsidR="00842DC4" w:rsidRPr="009B0068" w:rsidRDefault="00842DC4" w:rsidP="000B17CF">
            <w:pPr>
              <w:pStyle w:val="TableText"/>
              <w:numPr>
                <w:ilvl w:val="0"/>
                <w:numId w:val="2"/>
              </w:numPr>
              <w:bidi/>
              <w:rPr>
                <w:rFonts w:ascii="David" w:hAnsi="David"/>
                <w:sz w:val="24"/>
                <w:szCs w:val="24"/>
              </w:rPr>
            </w:pPr>
          </w:p>
        </w:tc>
        <w:tc>
          <w:tcPr>
            <w:tcW w:w="7146" w:type="dxa"/>
          </w:tcPr>
          <w:p w:rsidR="00842DC4" w:rsidRPr="009B0068" w:rsidRDefault="00842DC4" w:rsidP="00842DC4">
            <w:pPr>
              <w:pStyle w:val="P00"/>
              <w:spacing w:before="72"/>
              <w:ind w:left="0" w:right="142"/>
              <w:rPr>
                <w:rStyle w:val="default"/>
                <w:rFonts w:ascii="David" w:hAnsi="David" w:cs="David"/>
                <w:sz w:val="24"/>
                <w:szCs w:val="24"/>
                <w:rtl/>
              </w:rPr>
            </w:pPr>
            <w:r w:rsidRPr="009B0068">
              <w:rPr>
                <w:rStyle w:val="default"/>
                <w:rFonts w:ascii="David" w:hAnsi="David" w:cs="David"/>
                <w:sz w:val="24"/>
                <w:szCs w:val="24"/>
                <w:rtl/>
              </w:rPr>
              <w:t>(א)</w:t>
            </w:r>
            <w:r w:rsidRPr="009B0068">
              <w:rPr>
                <w:rStyle w:val="default"/>
                <w:rFonts w:ascii="David" w:hAnsi="David" w:cs="David"/>
                <w:sz w:val="24"/>
                <w:szCs w:val="24"/>
                <w:rtl/>
              </w:rPr>
              <w:tab/>
              <w:t>הפטורים הקבועים בסעיף 2 לכללים אלה יחולו בהתקיים כל אלה:</w:t>
            </w:r>
          </w:p>
          <w:p w:rsidR="00842DC4" w:rsidRPr="009B0068" w:rsidRDefault="00842DC4" w:rsidP="00842DC4">
            <w:pPr>
              <w:pStyle w:val="P00"/>
              <w:spacing w:before="72"/>
              <w:ind w:left="1021" w:right="142"/>
              <w:rPr>
                <w:rStyle w:val="default"/>
                <w:rFonts w:ascii="David" w:hAnsi="David" w:cs="David"/>
                <w:sz w:val="24"/>
                <w:szCs w:val="24"/>
                <w:rtl/>
              </w:rPr>
            </w:pPr>
            <w:r w:rsidRPr="009B0068">
              <w:rPr>
                <w:rStyle w:val="default"/>
                <w:rFonts w:ascii="David" w:hAnsi="David" w:cs="David"/>
                <w:sz w:val="24"/>
                <w:szCs w:val="24"/>
                <w:rtl/>
              </w:rPr>
              <w:t>(1) סידור המצרכים על ידי ספק גדול בחנות של קמעונאי גדול נעשה לפי הוראות הקמעונאי הגדול בנוגע לסידור מצרכים על פי תכנית כתובה ומפורטת לסידור שטחי מכירה (פלנוגרמה), הקובעת את סידור שטחי המכירה בחנות באופן מדויק;</w:t>
            </w:r>
          </w:p>
          <w:p w:rsidR="00842DC4" w:rsidRPr="009B0068" w:rsidRDefault="00842DC4" w:rsidP="00842DC4">
            <w:pPr>
              <w:pStyle w:val="P00"/>
              <w:spacing w:before="72"/>
              <w:ind w:left="1021" w:right="142"/>
              <w:rPr>
                <w:rStyle w:val="default"/>
                <w:rFonts w:ascii="David" w:hAnsi="David" w:cs="David"/>
                <w:sz w:val="24"/>
                <w:szCs w:val="24"/>
                <w:rtl/>
              </w:rPr>
            </w:pPr>
            <w:r w:rsidRPr="009B0068">
              <w:rPr>
                <w:rStyle w:val="default"/>
                <w:rFonts w:ascii="David" w:hAnsi="David" w:cs="David"/>
                <w:sz w:val="24"/>
                <w:szCs w:val="24"/>
                <w:rtl/>
              </w:rPr>
              <w:t>(2)</w:t>
            </w:r>
            <w:r w:rsidRPr="009B0068">
              <w:rPr>
                <w:rStyle w:val="default"/>
                <w:rFonts w:ascii="David" w:hAnsi="David" w:cs="David"/>
                <w:sz w:val="24"/>
                <w:szCs w:val="24"/>
                <w:rtl/>
              </w:rPr>
              <w:tab/>
              <w:t>מעורבותו של הספק הגדול בסידור מצרכים מוגבלת רק לסידור בפועל של מצרכיו של אותו ספק גדול על המדף או במחסן של הקמעונאי הגדול, לרבות הסרת מצרכים מן המדף או הוצאתם מן המחסן, וכן לפעולות הנלוות שלהלן, כולן או חלקן, והכול לפי הוראותיו של הקמעונאי הגדול:</w:t>
            </w:r>
          </w:p>
          <w:p w:rsidR="00842DC4" w:rsidRPr="009B0068" w:rsidRDefault="00842DC4" w:rsidP="00842DC4">
            <w:pPr>
              <w:pStyle w:val="P00"/>
              <w:spacing w:before="72"/>
              <w:ind w:left="1474" w:right="142"/>
              <w:rPr>
                <w:rStyle w:val="default"/>
                <w:rFonts w:ascii="David" w:hAnsi="David" w:cs="David"/>
                <w:sz w:val="24"/>
                <w:szCs w:val="24"/>
                <w:rtl/>
              </w:rPr>
            </w:pPr>
            <w:r w:rsidRPr="009B0068">
              <w:rPr>
                <w:rStyle w:val="default"/>
                <w:rFonts w:ascii="David" w:hAnsi="David" w:cs="David"/>
                <w:sz w:val="24"/>
                <w:szCs w:val="24"/>
                <w:rtl/>
              </w:rPr>
              <w:t>(א)</w:t>
            </w:r>
            <w:r w:rsidRPr="009B0068">
              <w:rPr>
                <w:rStyle w:val="default"/>
                <w:rFonts w:ascii="David" w:hAnsi="David" w:cs="David"/>
                <w:sz w:val="24"/>
                <w:szCs w:val="24"/>
                <w:rtl/>
              </w:rPr>
              <w:tab/>
              <w:t>סימון המחיר שקבע הקמעונאי הגדול על גבי המצרכים בחנות;</w:t>
            </w:r>
          </w:p>
          <w:p w:rsidR="00842DC4" w:rsidRPr="009B0068" w:rsidRDefault="00842DC4" w:rsidP="00842DC4">
            <w:pPr>
              <w:pStyle w:val="P00"/>
              <w:spacing w:before="72"/>
              <w:ind w:left="1474" w:right="142"/>
              <w:rPr>
                <w:rStyle w:val="default"/>
                <w:rFonts w:ascii="David" w:hAnsi="David" w:cs="David"/>
                <w:sz w:val="24"/>
                <w:szCs w:val="24"/>
                <w:rtl/>
              </w:rPr>
            </w:pPr>
            <w:r w:rsidRPr="009B0068">
              <w:rPr>
                <w:rStyle w:val="default"/>
                <w:rFonts w:ascii="David" w:hAnsi="David" w:cs="David"/>
                <w:sz w:val="24"/>
                <w:szCs w:val="24"/>
                <w:rtl/>
              </w:rPr>
              <w:t>(ב)</w:t>
            </w:r>
            <w:r w:rsidRPr="009B0068">
              <w:rPr>
                <w:rStyle w:val="default"/>
                <w:rFonts w:ascii="David" w:hAnsi="David" w:cs="David"/>
                <w:sz w:val="24"/>
                <w:szCs w:val="24"/>
                <w:rtl/>
              </w:rPr>
              <w:tab/>
              <w:t>ניהול הזמנות וחידוש מלאי המצרכים.</w:t>
            </w:r>
          </w:p>
          <w:p w:rsidR="00842DC4" w:rsidRPr="009B0068" w:rsidRDefault="00842DC4" w:rsidP="000B17CF">
            <w:pPr>
              <w:pStyle w:val="TableBlock"/>
              <w:bidi/>
              <w:rPr>
                <w:rFonts w:ascii="David" w:hAnsi="David"/>
                <w:sz w:val="24"/>
                <w:szCs w:val="24"/>
                <w:rtl/>
              </w:rPr>
            </w:pPr>
            <w:r w:rsidRPr="009B0068">
              <w:rPr>
                <w:rStyle w:val="default"/>
                <w:rFonts w:ascii="David" w:hAnsi="David" w:cs="David"/>
                <w:sz w:val="24"/>
                <w:szCs w:val="24"/>
                <w:rtl/>
              </w:rPr>
              <w:t>(ב)</w:t>
            </w:r>
            <w:r w:rsidRPr="009B0068">
              <w:rPr>
                <w:rStyle w:val="default"/>
                <w:rFonts w:ascii="David" w:hAnsi="David" w:cs="David"/>
                <w:sz w:val="24"/>
                <w:szCs w:val="24"/>
                <w:rtl/>
              </w:rPr>
              <w:tab/>
              <w:t>נוסף על האמור בסעיף קטן (א), תחולת הפטור שבסעיף 2(א) על קמעונאי גדול היא בתנאי שהקמעונאי הגדול מפקח באופן שוטף על כך שמעורבות הספק הגדול בסידור המצרכים אינה חורגת מן התנאים שבסעיף קטן (א).</w:t>
            </w:r>
          </w:p>
        </w:tc>
      </w:tr>
      <w:tr w:rsidR="00842DC4" w:rsidRPr="009B0068" w:rsidTr="000B17CF">
        <w:trPr>
          <w:cantSplit/>
          <w:trHeight w:val="60"/>
        </w:trPr>
        <w:tc>
          <w:tcPr>
            <w:tcW w:w="1871" w:type="dxa"/>
          </w:tcPr>
          <w:p w:rsidR="00842DC4" w:rsidRPr="009B0068" w:rsidRDefault="00842DC4" w:rsidP="000B17CF">
            <w:pPr>
              <w:pStyle w:val="TableSideHeading"/>
              <w:bidi/>
              <w:rPr>
                <w:rFonts w:ascii="David" w:hAnsi="David"/>
                <w:sz w:val="24"/>
                <w:szCs w:val="24"/>
                <w:rtl/>
              </w:rPr>
            </w:pPr>
            <w:r w:rsidRPr="009B0068">
              <w:rPr>
                <w:rFonts w:ascii="David" w:hAnsi="David"/>
                <w:sz w:val="24"/>
                <w:szCs w:val="24"/>
                <w:rtl/>
              </w:rPr>
              <w:t>פטור לחצי שנה נוספת</w:t>
            </w:r>
          </w:p>
        </w:tc>
        <w:tc>
          <w:tcPr>
            <w:tcW w:w="624" w:type="dxa"/>
          </w:tcPr>
          <w:p w:rsidR="00842DC4" w:rsidRPr="009B0068" w:rsidRDefault="00842DC4" w:rsidP="000B17CF">
            <w:pPr>
              <w:pStyle w:val="TableText"/>
              <w:numPr>
                <w:ilvl w:val="0"/>
                <w:numId w:val="2"/>
              </w:numPr>
              <w:bidi/>
              <w:rPr>
                <w:rFonts w:ascii="David" w:hAnsi="David"/>
                <w:sz w:val="24"/>
                <w:szCs w:val="24"/>
              </w:rPr>
            </w:pPr>
          </w:p>
        </w:tc>
        <w:tc>
          <w:tcPr>
            <w:tcW w:w="7146" w:type="dxa"/>
          </w:tcPr>
          <w:p w:rsidR="00842DC4" w:rsidRPr="009B0068" w:rsidRDefault="00842DC4" w:rsidP="000B17CF">
            <w:pPr>
              <w:pStyle w:val="TableBlock"/>
              <w:bidi/>
              <w:rPr>
                <w:rFonts w:ascii="David" w:hAnsi="David"/>
                <w:sz w:val="24"/>
                <w:szCs w:val="24"/>
                <w:rtl/>
              </w:rPr>
            </w:pPr>
            <w:r w:rsidRPr="009B0068">
              <w:rPr>
                <w:rStyle w:val="default"/>
                <w:rFonts w:ascii="David" w:hAnsi="David" w:cs="David"/>
                <w:sz w:val="24"/>
                <w:szCs w:val="24"/>
                <w:rtl/>
              </w:rPr>
              <w:t>קמעונאי גדול או ספק גדול שבשנה מסוימת היה זכאי לפטור לפי סעיף 2, אך בשנה שלאחריה (להלן – השנה העוקבת) אינו זכאי לפטור לפי סעיף 2, ימשיך להיות פטור במהלך המחצית הראשונה של השנה העוקבת, ובלבד שבתקופה זו עמד בתנאים שבסעיף 3.</w:t>
            </w:r>
          </w:p>
        </w:tc>
      </w:tr>
      <w:tr w:rsidR="00842DC4" w:rsidRPr="009B0068" w:rsidTr="000B17CF">
        <w:trPr>
          <w:cantSplit/>
          <w:trHeight w:val="60"/>
        </w:trPr>
        <w:tc>
          <w:tcPr>
            <w:tcW w:w="1871" w:type="dxa"/>
          </w:tcPr>
          <w:p w:rsidR="00842DC4" w:rsidRPr="009B0068" w:rsidRDefault="00842DC4" w:rsidP="000B17CF">
            <w:pPr>
              <w:pStyle w:val="TableSideHeading"/>
              <w:bidi/>
              <w:rPr>
                <w:rFonts w:ascii="David" w:hAnsi="David"/>
                <w:sz w:val="24"/>
                <w:szCs w:val="24"/>
                <w:rtl/>
              </w:rPr>
            </w:pPr>
            <w:r w:rsidRPr="009B0068">
              <w:rPr>
                <w:rStyle w:val="default"/>
                <w:rFonts w:ascii="David" w:hAnsi="David" w:cs="David"/>
                <w:sz w:val="24"/>
                <w:szCs w:val="24"/>
                <w:rtl/>
              </w:rPr>
              <w:lastRenderedPageBreak/>
              <w:t>פטור בנוגע לסימון מחיר בחנות שהוא חלק מסידור מצרכים מותר</w:t>
            </w:r>
          </w:p>
        </w:tc>
        <w:tc>
          <w:tcPr>
            <w:tcW w:w="624" w:type="dxa"/>
          </w:tcPr>
          <w:p w:rsidR="00842DC4" w:rsidRPr="009B0068" w:rsidRDefault="00842DC4" w:rsidP="000B17CF">
            <w:pPr>
              <w:pStyle w:val="TableText"/>
              <w:numPr>
                <w:ilvl w:val="0"/>
                <w:numId w:val="2"/>
              </w:numPr>
              <w:bidi/>
              <w:rPr>
                <w:rFonts w:ascii="David" w:hAnsi="David"/>
                <w:sz w:val="24"/>
                <w:szCs w:val="24"/>
              </w:rPr>
            </w:pPr>
          </w:p>
        </w:tc>
        <w:tc>
          <w:tcPr>
            <w:tcW w:w="7146" w:type="dxa"/>
          </w:tcPr>
          <w:p w:rsidR="00842DC4" w:rsidRPr="009B0068" w:rsidRDefault="00842DC4" w:rsidP="000B17CF">
            <w:pPr>
              <w:pStyle w:val="TableBlock"/>
              <w:bidi/>
              <w:rPr>
                <w:rFonts w:ascii="David" w:hAnsi="David"/>
                <w:sz w:val="24"/>
                <w:szCs w:val="24"/>
                <w:rtl/>
              </w:rPr>
            </w:pPr>
            <w:r w:rsidRPr="009B0068">
              <w:rPr>
                <w:rStyle w:val="default"/>
                <w:rFonts w:ascii="David" w:hAnsi="David" w:cs="David"/>
                <w:sz w:val="24"/>
                <w:szCs w:val="24"/>
                <w:rtl/>
              </w:rPr>
              <w:t xml:space="preserve">ספק גדול וקמעונאי גדול יהיו פטורים מן האיסורים שבסעיף 7(א)(3)(א) ו-(4) לחוק, בהתאמה, לגבי סימון מחיר שקבע הקמעונאי הגדול על גבי מצרכים של הספק הגדול, אשר נעשה בחנות, וכחלק מפעילות סידור מצרכים בחנות של קמעונאי גדול שחל לגביה פטור לפי סעיף </w:t>
            </w:r>
            <w:r w:rsidR="00C52823">
              <w:rPr>
                <w:rStyle w:val="default"/>
                <w:rFonts w:ascii="David" w:hAnsi="David" w:cs="David" w:hint="cs"/>
                <w:sz w:val="24"/>
                <w:szCs w:val="24"/>
                <w:rtl/>
              </w:rPr>
              <w:t>2</w:t>
            </w:r>
            <w:r w:rsidRPr="009B0068">
              <w:rPr>
                <w:rStyle w:val="default"/>
                <w:rFonts w:ascii="David" w:hAnsi="David" w:cs="David"/>
                <w:sz w:val="24"/>
                <w:szCs w:val="24"/>
                <w:rtl/>
              </w:rPr>
              <w:t xml:space="preserve"> לכללים אלה.</w:t>
            </w:r>
          </w:p>
        </w:tc>
      </w:tr>
      <w:tr w:rsidR="00842DC4" w:rsidRPr="009B0068" w:rsidTr="000B17CF">
        <w:trPr>
          <w:cantSplit/>
          <w:trHeight w:val="60"/>
        </w:trPr>
        <w:tc>
          <w:tcPr>
            <w:tcW w:w="1871" w:type="dxa"/>
          </w:tcPr>
          <w:p w:rsidR="00842DC4" w:rsidRPr="009B0068" w:rsidRDefault="00842DC4" w:rsidP="000B17CF">
            <w:pPr>
              <w:pStyle w:val="TableSideHeading"/>
              <w:bidi/>
              <w:rPr>
                <w:rFonts w:ascii="David" w:hAnsi="David"/>
                <w:sz w:val="24"/>
                <w:szCs w:val="24"/>
                <w:rtl/>
              </w:rPr>
            </w:pPr>
            <w:r w:rsidRPr="009B0068">
              <w:rPr>
                <w:rStyle w:val="default"/>
                <w:rFonts w:ascii="David" w:hAnsi="David" w:cs="David"/>
                <w:sz w:val="24"/>
                <w:szCs w:val="24"/>
                <w:rtl/>
              </w:rPr>
              <w:t>קביעה בדבר אי-תחולה של הפטור על פעולות או הסדרים מסוימים</w:t>
            </w:r>
          </w:p>
        </w:tc>
        <w:tc>
          <w:tcPr>
            <w:tcW w:w="624" w:type="dxa"/>
          </w:tcPr>
          <w:p w:rsidR="00842DC4" w:rsidRPr="009B0068" w:rsidRDefault="00842DC4" w:rsidP="000B17CF">
            <w:pPr>
              <w:pStyle w:val="TableText"/>
              <w:numPr>
                <w:ilvl w:val="0"/>
                <w:numId w:val="2"/>
              </w:numPr>
              <w:bidi/>
              <w:rPr>
                <w:rFonts w:ascii="David" w:hAnsi="David"/>
                <w:sz w:val="24"/>
                <w:szCs w:val="24"/>
              </w:rPr>
            </w:pPr>
          </w:p>
        </w:tc>
        <w:tc>
          <w:tcPr>
            <w:tcW w:w="7146" w:type="dxa"/>
          </w:tcPr>
          <w:p w:rsidR="00842DC4" w:rsidRPr="009B0068" w:rsidRDefault="009B0068" w:rsidP="000B17CF">
            <w:pPr>
              <w:pStyle w:val="TableBlock"/>
              <w:bidi/>
              <w:rPr>
                <w:rFonts w:ascii="David" w:hAnsi="David"/>
                <w:sz w:val="24"/>
                <w:szCs w:val="24"/>
                <w:rtl/>
              </w:rPr>
            </w:pPr>
            <w:r w:rsidRPr="009B0068">
              <w:rPr>
                <w:rStyle w:val="default"/>
                <w:rFonts w:ascii="David" w:hAnsi="David" w:cs="David"/>
                <w:sz w:val="24"/>
                <w:szCs w:val="24"/>
                <w:rtl/>
              </w:rPr>
              <w:t>הממונה רשאי לקבוע כי הפטור הקבוע בכללים אלה לא יחול על פעולות או הסדרים מסוימים ממועד שיקבע, הממונה ישלח הודעה בכתב לצדדים הנוגעים בדבר וכן יפרסם הודעה בדבר החרגה כאמור באתר האינטרנט של הרשות.</w:t>
            </w:r>
          </w:p>
        </w:tc>
      </w:tr>
      <w:tr w:rsidR="00842DC4" w:rsidRPr="009B0068" w:rsidTr="000B17CF">
        <w:trPr>
          <w:cantSplit/>
          <w:trHeight w:val="60"/>
        </w:trPr>
        <w:tc>
          <w:tcPr>
            <w:tcW w:w="1871" w:type="dxa"/>
          </w:tcPr>
          <w:p w:rsidR="00842DC4" w:rsidRPr="009B0068" w:rsidRDefault="009B0068" w:rsidP="000B17CF">
            <w:pPr>
              <w:pStyle w:val="TableSideHeading"/>
              <w:bidi/>
              <w:rPr>
                <w:rStyle w:val="default"/>
                <w:rFonts w:ascii="David" w:hAnsi="David" w:cs="David"/>
                <w:sz w:val="24"/>
                <w:szCs w:val="24"/>
                <w:rtl/>
              </w:rPr>
            </w:pPr>
            <w:r w:rsidRPr="009B0068">
              <w:rPr>
                <w:rStyle w:val="default"/>
                <w:rFonts w:ascii="David" w:hAnsi="David" w:cs="David"/>
                <w:sz w:val="24"/>
                <w:szCs w:val="24"/>
                <w:rtl/>
              </w:rPr>
              <w:t>תחילת תוקף</w:t>
            </w:r>
          </w:p>
        </w:tc>
        <w:tc>
          <w:tcPr>
            <w:tcW w:w="624" w:type="dxa"/>
          </w:tcPr>
          <w:p w:rsidR="00842DC4" w:rsidRPr="009B0068" w:rsidRDefault="00842DC4" w:rsidP="000B17CF">
            <w:pPr>
              <w:pStyle w:val="TableText"/>
              <w:numPr>
                <w:ilvl w:val="0"/>
                <w:numId w:val="2"/>
              </w:numPr>
              <w:bidi/>
              <w:rPr>
                <w:rFonts w:ascii="David" w:hAnsi="David"/>
                <w:sz w:val="24"/>
                <w:szCs w:val="24"/>
              </w:rPr>
            </w:pPr>
          </w:p>
        </w:tc>
        <w:tc>
          <w:tcPr>
            <w:tcW w:w="7146" w:type="dxa"/>
          </w:tcPr>
          <w:p w:rsidR="00842DC4" w:rsidRPr="009B0068" w:rsidRDefault="009B0068" w:rsidP="000B17CF">
            <w:pPr>
              <w:pStyle w:val="TableBlock"/>
              <w:bidi/>
              <w:rPr>
                <w:rFonts w:ascii="David" w:hAnsi="David"/>
                <w:sz w:val="24"/>
                <w:szCs w:val="24"/>
                <w:rtl/>
              </w:rPr>
            </w:pPr>
            <w:r w:rsidRPr="009B0068">
              <w:rPr>
                <w:rStyle w:val="default"/>
                <w:rFonts w:ascii="David" w:hAnsi="David" w:cs="David"/>
                <w:sz w:val="24"/>
                <w:szCs w:val="24"/>
                <w:rtl/>
              </w:rPr>
              <w:t>תחילתם של כללים אלה ביום כ"ד באייר תשפ"ד (1 בינואר 2025).</w:t>
            </w:r>
          </w:p>
        </w:tc>
      </w:tr>
      <w:tr w:rsidR="00842DC4" w:rsidRPr="009B0068" w:rsidTr="000B17CF">
        <w:trPr>
          <w:cantSplit/>
          <w:trHeight w:val="60"/>
        </w:trPr>
        <w:tc>
          <w:tcPr>
            <w:tcW w:w="1871" w:type="dxa"/>
          </w:tcPr>
          <w:p w:rsidR="00842DC4" w:rsidRPr="009B0068" w:rsidRDefault="009B0068" w:rsidP="000B17CF">
            <w:pPr>
              <w:pStyle w:val="TableSideHeading"/>
              <w:bidi/>
              <w:rPr>
                <w:rStyle w:val="default"/>
                <w:rFonts w:ascii="David" w:hAnsi="David" w:cs="David"/>
                <w:sz w:val="24"/>
                <w:szCs w:val="24"/>
                <w:rtl/>
              </w:rPr>
            </w:pPr>
            <w:r w:rsidRPr="009B0068">
              <w:rPr>
                <w:rStyle w:val="default"/>
                <w:rFonts w:ascii="David" w:hAnsi="David" w:cs="David"/>
                <w:sz w:val="24"/>
                <w:szCs w:val="24"/>
                <w:rtl/>
              </w:rPr>
              <w:t>ביטול</w:t>
            </w:r>
          </w:p>
        </w:tc>
        <w:tc>
          <w:tcPr>
            <w:tcW w:w="624" w:type="dxa"/>
          </w:tcPr>
          <w:p w:rsidR="00842DC4" w:rsidRPr="009B0068" w:rsidRDefault="00842DC4" w:rsidP="000B17CF">
            <w:pPr>
              <w:pStyle w:val="TableText"/>
              <w:numPr>
                <w:ilvl w:val="0"/>
                <w:numId w:val="2"/>
              </w:numPr>
              <w:bidi/>
              <w:rPr>
                <w:rFonts w:ascii="David" w:hAnsi="David"/>
                <w:sz w:val="24"/>
                <w:szCs w:val="24"/>
              </w:rPr>
            </w:pPr>
          </w:p>
        </w:tc>
        <w:tc>
          <w:tcPr>
            <w:tcW w:w="7146" w:type="dxa"/>
          </w:tcPr>
          <w:p w:rsidR="00842DC4" w:rsidRPr="009B0068" w:rsidRDefault="009B0068" w:rsidP="000B17CF">
            <w:pPr>
              <w:pStyle w:val="TableBlock"/>
              <w:bidi/>
              <w:rPr>
                <w:rFonts w:ascii="David" w:hAnsi="David"/>
                <w:sz w:val="24"/>
                <w:szCs w:val="24"/>
                <w:rtl/>
              </w:rPr>
            </w:pPr>
            <w:r w:rsidRPr="009B0068">
              <w:rPr>
                <w:rFonts w:ascii="David" w:hAnsi="David"/>
                <w:sz w:val="24"/>
                <w:szCs w:val="24"/>
                <w:rtl/>
              </w:rPr>
              <w:t>כללי קידום התחרות בענף המזון (פטור לפעולות ולהסדרים שעניינם סידור מצרכים בחנות של קמעונאי גדול) (הוראת שעה), התשע"ז-2017</w:t>
            </w:r>
            <w:r w:rsidRPr="009B0068">
              <w:rPr>
                <w:rStyle w:val="default"/>
                <w:rFonts w:ascii="David" w:hAnsi="David" w:cs="David"/>
                <w:sz w:val="24"/>
                <w:szCs w:val="24"/>
                <w:rtl/>
              </w:rPr>
              <w:t xml:space="preserve"> – בטלים במועד תחילתם של כללים אלה.</w:t>
            </w:r>
          </w:p>
        </w:tc>
      </w:tr>
    </w:tbl>
    <w:p w:rsidR="00842DC4" w:rsidRPr="009B0068" w:rsidRDefault="00842DC4" w:rsidP="00842DC4">
      <w:pPr>
        <w:bidi/>
        <w:rPr>
          <w:rtl/>
        </w:rPr>
      </w:pPr>
    </w:p>
    <w:p w:rsidR="00842DC4" w:rsidRPr="009B0068" w:rsidRDefault="00842DC4" w:rsidP="00842DC4">
      <w:pPr>
        <w:bidi/>
        <w:rPr>
          <w:rFonts w:eastAsia="Calibri"/>
          <w:rtl/>
        </w:rPr>
      </w:pPr>
      <w:r w:rsidRPr="009B0068">
        <w:rPr>
          <w:rFonts w:eastAsia="Calibri"/>
          <w:rtl/>
        </w:rPr>
        <w:t>___ ב________ התש_______ (___ ב________ ____20)</w:t>
      </w:r>
    </w:p>
    <w:p w:rsidR="00842DC4" w:rsidRPr="009B0068" w:rsidRDefault="00842DC4" w:rsidP="00842DC4">
      <w:pPr>
        <w:bidi/>
        <w:rPr>
          <w:rFonts w:eastAsia="Calibri"/>
          <w:rtl/>
        </w:rPr>
      </w:pPr>
      <w:r w:rsidRPr="009B0068">
        <w:rPr>
          <w:rFonts w:eastAsia="Calibri"/>
          <w:rtl/>
        </w:rPr>
        <w:t>[תאריך עברי] ([תאריך לועזי])</w:t>
      </w:r>
    </w:p>
    <w:p w:rsidR="00842DC4" w:rsidRPr="009B0068" w:rsidRDefault="00842DC4" w:rsidP="00842DC4">
      <w:pPr>
        <w:bidi/>
        <w:spacing w:line="240" w:lineRule="auto"/>
        <w:ind w:left="5760"/>
        <w:jc w:val="center"/>
        <w:rPr>
          <w:rtl/>
        </w:rPr>
      </w:pPr>
    </w:p>
    <w:p w:rsidR="00842DC4" w:rsidRPr="009B0068" w:rsidRDefault="00842DC4" w:rsidP="00842DC4">
      <w:pPr>
        <w:bidi/>
        <w:spacing w:line="240" w:lineRule="auto"/>
        <w:ind w:left="5760"/>
        <w:jc w:val="center"/>
        <w:rPr>
          <w:rtl/>
        </w:rPr>
      </w:pPr>
      <w:r w:rsidRPr="009B0068">
        <w:rPr>
          <w:rtl/>
        </w:rPr>
        <w:t>__________________</w:t>
      </w:r>
    </w:p>
    <w:p w:rsidR="00842DC4" w:rsidRPr="009B0068" w:rsidRDefault="00842DC4" w:rsidP="00842DC4">
      <w:pPr>
        <w:bidi/>
        <w:spacing w:line="240" w:lineRule="auto"/>
        <w:ind w:left="5760"/>
        <w:jc w:val="center"/>
        <w:rPr>
          <w:rtl/>
        </w:rPr>
      </w:pPr>
      <w:r w:rsidRPr="009B0068">
        <w:rPr>
          <w:rtl/>
        </w:rPr>
        <w:t>מיכל כהן</w:t>
      </w:r>
    </w:p>
    <w:p w:rsidR="00842DC4" w:rsidRPr="009B0068" w:rsidRDefault="00842DC4" w:rsidP="00842DC4">
      <w:pPr>
        <w:bidi/>
        <w:spacing w:line="240" w:lineRule="auto"/>
        <w:ind w:left="5760"/>
        <w:jc w:val="center"/>
        <w:rPr>
          <w:rtl/>
        </w:rPr>
      </w:pPr>
      <w:r w:rsidRPr="009B0068">
        <w:rPr>
          <w:rtl/>
        </w:rPr>
        <w:t>הממונה על התחרות</w:t>
      </w:r>
    </w:p>
    <w:p w:rsidR="00842DC4" w:rsidRPr="009B0068" w:rsidRDefault="00842DC4" w:rsidP="00842DC4">
      <w:pPr>
        <w:bidi/>
        <w:spacing w:line="240" w:lineRule="auto"/>
        <w:ind w:left="5760"/>
        <w:jc w:val="center"/>
        <w:rPr>
          <w:rtl/>
        </w:rPr>
      </w:pPr>
    </w:p>
    <w:p w:rsidR="00842DC4" w:rsidRPr="009B0068" w:rsidRDefault="00842DC4" w:rsidP="00842DC4">
      <w:pPr>
        <w:bidi/>
        <w:spacing w:line="240" w:lineRule="auto"/>
        <w:ind w:left="5760"/>
        <w:jc w:val="center"/>
        <w:rPr>
          <w:rtl/>
        </w:rPr>
      </w:pPr>
    </w:p>
    <w:p w:rsidR="00842DC4" w:rsidRPr="009B0068" w:rsidRDefault="00842DC4" w:rsidP="00842DC4">
      <w:pPr>
        <w:pStyle w:val="HeadMitparsemetBaze"/>
        <w:keepNext w:val="0"/>
        <w:keepLines w:val="0"/>
        <w:pageBreakBefore w:val="0"/>
        <w:bidi/>
        <w:jc w:val="center"/>
        <w:rPr>
          <w:rFonts w:ascii="David" w:hAnsi="David"/>
          <w:sz w:val="24"/>
          <w:szCs w:val="24"/>
          <w:rtl/>
        </w:rPr>
      </w:pPr>
    </w:p>
    <w:p w:rsidR="00842DC4" w:rsidRPr="009B0068" w:rsidRDefault="00842DC4" w:rsidP="00842DC4">
      <w:pPr>
        <w:pStyle w:val="HeadMitparsemetBaze"/>
        <w:keepNext w:val="0"/>
        <w:keepLines w:val="0"/>
        <w:pageBreakBefore w:val="0"/>
        <w:bidi/>
        <w:jc w:val="center"/>
        <w:rPr>
          <w:rFonts w:ascii="David" w:hAnsi="David"/>
          <w:sz w:val="24"/>
          <w:szCs w:val="24"/>
          <w:rtl/>
        </w:rPr>
      </w:pPr>
    </w:p>
    <w:p w:rsidR="00842DC4" w:rsidRPr="009B0068" w:rsidRDefault="00842DC4" w:rsidP="00842DC4">
      <w:pPr>
        <w:pStyle w:val="HeadMitparsemetBaze"/>
        <w:keepNext w:val="0"/>
        <w:keepLines w:val="0"/>
        <w:pageBreakBefore w:val="0"/>
        <w:bidi/>
        <w:jc w:val="center"/>
        <w:rPr>
          <w:rFonts w:ascii="David" w:hAnsi="David"/>
          <w:sz w:val="24"/>
          <w:szCs w:val="24"/>
          <w:rtl/>
        </w:rPr>
      </w:pPr>
    </w:p>
    <w:p w:rsidR="00842DC4" w:rsidRPr="009B0068" w:rsidRDefault="00842DC4" w:rsidP="00842DC4">
      <w:pPr>
        <w:pStyle w:val="HeadMitparsemetBaze"/>
        <w:keepNext w:val="0"/>
        <w:keepLines w:val="0"/>
        <w:pageBreakBefore w:val="0"/>
        <w:bidi/>
        <w:jc w:val="center"/>
        <w:rPr>
          <w:rFonts w:ascii="David" w:hAnsi="David"/>
          <w:sz w:val="24"/>
          <w:szCs w:val="24"/>
          <w:rtl/>
        </w:rPr>
      </w:pPr>
    </w:p>
    <w:p w:rsidR="00842DC4" w:rsidRPr="009B0068" w:rsidRDefault="00842DC4" w:rsidP="00842DC4">
      <w:pPr>
        <w:pStyle w:val="HeadMitparsemetBaze"/>
        <w:keepNext w:val="0"/>
        <w:keepLines w:val="0"/>
        <w:pageBreakBefore w:val="0"/>
        <w:bidi/>
        <w:jc w:val="center"/>
        <w:rPr>
          <w:rFonts w:ascii="David" w:hAnsi="David"/>
          <w:sz w:val="24"/>
          <w:szCs w:val="24"/>
        </w:rPr>
      </w:pPr>
    </w:p>
    <w:p w:rsidR="00842DC4" w:rsidRPr="009B0068" w:rsidRDefault="00842DC4" w:rsidP="00842DC4">
      <w:pPr>
        <w:pStyle w:val="HeadMitparsemetBaze"/>
        <w:keepNext w:val="0"/>
        <w:keepLines w:val="0"/>
        <w:pageBreakBefore w:val="0"/>
        <w:bidi/>
        <w:jc w:val="center"/>
        <w:rPr>
          <w:rFonts w:ascii="David" w:hAnsi="David"/>
          <w:sz w:val="24"/>
          <w:szCs w:val="24"/>
        </w:rPr>
      </w:pPr>
    </w:p>
    <w:p w:rsidR="00842DC4" w:rsidRPr="009B0068" w:rsidRDefault="00842DC4" w:rsidP="00842DC4">
      <w:pPr>
        <w:pStyle w:val="HeadMitparsemetBaze"/>
        <w:keepNext w:val="0"/>
        <w:keepLines w:val="0"/>
        <w:pageBreakBefore w:val="0"/>
        <w:bidi/>
        <w:jc w:val="center"/>
        <w:rPr>
          <w:rFonts w:ascii="David" w:hAnsi="David"/>
          <w:sz w:val="24"/>
          <w:szCs w:val="24"/>
        </w:rPr>
      </w:pPr>
    </w:p>
    <w:p w:rsidR="00842DC4" w:rsidRPr="009B0068" w:rsidRDefault="00842DC4" w:rsidP="00842DC4">
      <w:pPr>
        <w:pStyle w:val="HeadMitparsemetBaze"/>
        <w:keepNext w:val="0"/>
        <w:keepLines w:val="0"/>
        <w:pageBreakBefore w:val="0"/>
        <w:bidi/>
        <w:jc w:val="center"/>
        <w:rPr>
          <w:rFonts w:ascii="David" w:hAnsi="David"/>
          <w:sz w:val="24"/>
          <w:szCs w:val="24"/>
        </w:rPr>
      </w:pPr>
    </w:p>
    <w:p w:rsidR="00842DC4" w:rsidRPr="009B0068" w:rsidRDefault="00842DC4" w:rsidP="00842DC4">
      <w:pPr>
        <w:pStyle w:val="HeadMitparsemetBaze"/>
        <w:keepNext w:val="0"/>
        <w:keepLines w:val="0"/>
        <w:pageBreakBefore w:val="0"/>
        <w:bidi/>
        <w:jc w:val="center"/>
        <w:rPr>
          <w:rFonts w:ascii="David" w:hAnsi="David"/>
          <w:sz w:val="24"/>
          <w:szCs w:val="24"/>
          <w:rtl/>
        </w:rPr>
      </w:pPr>
    </w:p>
    <w:p w:rsidR="00842DC4" w:rsidRPr="009B0068" w:rsidRDefault="00842DC4" w:rsidP="00842DC4">
      <w:pPr>
        <w:pStyle w:val="HeadDivreiHesber"/>
        <w:bidi/>
        <w:rPr>
          <w:rFonts w:ascii="David" w:hAnsi="David"/>
          <w:sz w:val="24"/>
          <w:szCs w:val="24"/>
        </w:rPr>
      </w:pPr>
      <w:r w:rsidRPr="009B0068">
        <w:rPr>
          <w:rFonts w:ascii="David" w:hAnsi="David"/>
          <w:sz w:val="24"/>
          <w:szCs w:val="24"/>
          <w:rtl/>
        </w:rPr>
        <w:t>דברי הסבר</w:t>
      </w:r>
    </w:p>
    <w:p w:rsidR="00842DC4" w:rsidRPr="009B0068" w:rsidRDefault="00842DC4" w:rsidP="00842DC4">
      <w:pPr>
        <w:widowControl w:val="0"/>
        <w:bidi/>
        <w:spacing w:after="0" w:line="360" w:lineRule="auto"/>
        <w:contextualSpacing/>
        <w:jc w:val="both"/>
        <w:rPr>
          <w:rtl/>
        </w:rPr>
      </w:pPr>
    </w:p>
    <w:p w:rsidR="00842DC4" w:rsidRPr="009B0068" w:rsidRDefault="00842DC4" w:rsidP="00842DC4">
      <w:pPr>
        <w:widowControl w:val="0"/>
        <w:bidi/>
        <w:spacing w:after="0" w:line="360" w:lineRule="auto"/>
        <w:contextualSpacing/>
        <w:jc w:val="both"/>
        <w:rPr>
          <w:rtl/>
        </w:rPr>
      </w:pPr>
      <w:r w:rsidRPr="009B0068">
        <w:rPr>
          <w:rtl/>
        </w:rPr>
        <w:t xml:space="preserve">מוצע להאריך את תוקפם של כללי קידום התחרות בענף המזון (פטור לפעולות ולהסדרים שעניינם סידור מצרכים בחנות של קמעונאי גדול) (הוראת שעה), התשע"ז-2017, עד לסוף שנת 2024 ולהציע כללים חדשים שיכנסו לתוקפם החל מיום 1 בינואר 2025.  </w:t>
      </w:r>
    </w:p>
    <w:p w:rsidR="00842DC4" w:rsidRPr="009B0068" w:rsidRDefault="00842DC4" w:rsidP="00842DC4">
      <w:pPr>
        <w:widowControl w:val="0"/>
        <w:bidi/>
        <w:spacing w:after="0" w:line="360" w:lineRule="auto"/>
        <w:contextualSpacing/>
        <w:jc w:val="both"/>
        <w:rPr>
          <w:rtl/>
        </w:rPr>
      </w:pPr>
      <w:r w:rsidRPr="009B0068">
        <w:rPr>
          <w:rtl/>
        </w:rPr>
        <w:t xml:space="preserve">סעיפים 7(א)(1) ו – 7(א)(2) לחוק קידום התחרות בענף המזון, תשע"ד- 2014 (להלן – החוק), אוסרים על ספק גדול לעסוק או להתערב בסידור מצרכים אצל קמעונאי גדול הנכלל ברשימה, להמליץ או להתערב בכל דרך אחרת בעניין סידור המצרכים וכן אוסרים על קמעונאי גדול להיות צד להסדר עם ספק גדול הנכלל ברשימה הנוגע לסידור מצרכים בחנותו (להלן – איסור הסדרנות). </w:t>
      </w:r>
    </w:p>
    <w:p w:rsidR="00842DC4" w:rsidRPr="009B0068" w:rsidRDefault="00842DC4" w:rsidP="00842DC4">
      <w:pPr>
        <w:widowControl w:val="0"/>
        <w:bidi/>
        <w:spacing w:after="0" w:line="360" w:lineRule="auto"/>
        <w:contextualSpacing/>
        <w:jc w:val="both"/>
        <w:rPr>
          <w:rtl/>
        </w:rPr>
      </w:pPr>
      <w:r w:rsidRPr="009B0068">
        <w:rPr>
          <w:rtl/>
        </w:rPr>
        <w:t xml:space="preserve">תחרות בין ספקי המזון על לבו של הצרכן מתבססת על נוכחות של מצרכי המתחרים השונים בשטחי התצוגה אצל הקמעונאים. להתערבות של ספק אצל קמעונאי לגבי תנאי מסחר של ספקים אחרים, או לגבי היקף נוכחות מוצריהם על מדפי החנות, יש השלכות מהותיות על התחרות ועל המחירים לצרכן. התערבות של הספק הגדול בסידור מצרכים טומנת בחובה פוטנציאל רב ליצירת כוח שוק בידי הספק המתערב, על ידי דחיקת מוצרי המתחרים ממדפי הקמעונאי והעלאת חסמי הכניסה והתרחבות. </w:t>
      </w:r>
    </w:p>
    <w:p w:rsidR="00842DC4" w:rsidRPr="009B0068" w:rsidRDefault="00842DC4" w:rsidP="00842DC4">
      <w:pPr>
        <w:widowControl w:val="0"/>
        <w:bidi/>
        <w:spacing w:after="0" w:line="360" w:lineRule="auto"/>
        <w:contextualSpacing/>
        <w:jc w:val="both"/>
        <w:rPr>
          <w:rtl/>
        </w:rPr>
      </w:pPr>
      <w:r w:rsidRPr="009B0068">
        <w:rPr>
          <w:rtl/>
        </w:rPr>
        <w:t>סעיף 7(ג) לחוק מקנה לממונה את הסמכות לקבוע כללים ביחס לסוגי הסדרים או פעולות שלגביהם יהיו ספק גדול או קמעונאי גדול פטורים מתחולת הוראות סעיף 7(א), אם שוכנע כי אין בסוגי הסדרים או פעולות אלה כדי ליצור חשש לפגיעה בתחרות</w:t>
      </w:r>
      <w:r w:rsidRPr="009B0068">
        <w:t>.</w:t>
      </w:r>
      <w:r w:rsidRPr="009B0068">
        <w:rPr>
          <w:rtl/>
        </w:rPr>
        <w:t xml:space="preserve"> בהתאם לכך, נקבעו כללי קידום התחרות בענף המזון (פטור לפעולות ולהסדרים שעניינם סידור מצרכים בחנותו של קמעונאי גדול (הוראת שעה), תשע"ז-2017 (להלן – פטור הסדרנות), אשר קובעים תנאים שבהתקיימותם ספק גדול פטור מן האיסור הקבוע בסעיף 7(א)(1) לחוק וקמעונאי גדול פטור מן האיסור הקבוע בסעיף 7(א)(2) לחוק. </w:t>
      </w:r>
    </w:p>
    <w:p w:rsidR="00842DC4" w:rsidRPr="009B0068" w:rsidRDefault="00842DC4" w:rsidP="00842DC4">
      <w:pPr>
        <w:widowControl w:val="0"/>
        <w:bidi/>
        <w:spacing w:after="0" w:line="360" w:lineRule="auto"/>
        <w:contextualSpacing/>
        <w:jc w:val="both"/>
        <w:rPr>
          <w:rtl/>
        </w:rPr>
      </w:pPr>
      <w:r w:rsidRPr="009B0068">
        <w:rPr>
          <w:rtl/>
        </w:rPr>
        <w:t>על פי פטור הסדרנות ספק גדול רשאי לסדר מצרכים אצל קמעונאי גדול בכפוף לתנאים המצטברים הבאים:</w:t>
      </w:r>
    </w:p>
    <w:p w:rsidR="00842DC4" w:rsidRPr="009B0068" w:rsidRDefault="00842DC4" w:rsidP="00842DC4">
      <w:pPr>
        <w:pStyle w:val="ListParagraph"/>
        <w:numPr>
          <w:ilvl w:val="0"/>
          <w:numId w:val="3"/>
        </w:numPr>
        <w:bidi/>
        <w:spacing w:after="0" w:line="360" w:lineRule="auto"/>
        <w:jc w:val="both"/>
        <w:rPr>
          <w:rFonts w:ascii="David" w:hAnsi="David"/>
          <w:sz w:val="24"/>
        </w:rPr>
      </w:pPr>
      <w:r w:rsidRPr="009B0068">
        <w:rPr>
          <w:rFonts w:ascii="David" w:hAnsi="David"/>
          <w:sz w:val="24"/>
          <w:rtl/>
        </w:rPr>
        <w:t xml:space="preserve">סידור המצרכים על ידי ספק גדול בחנות של קמעונאי גדול נעשה לפי </w:t>
      </w:r>
      <w:proofErr w:type="spellStart"/>
      <w:r w:rsidRPr="009B0068">
        <w:rPr>
          <w:rFonts w:ascii="David" w:hAnsi="David"/>
          <w:sz w:val="24"/>
          <w:rtl/>
        </w:rPr>
        <w:t>פלנוגרמה</w:t>
      </w:r>
      <w:proofErr w:type="spellEnd"/>
      <w:r w:rsidRPr="009B0068">
        <w:rPr>
          <w:rFonts w:ascii="David" w:hAnsi="David"/>
          <w:sz w:val="24"/>
          <w:rtl/>
        </w:rPr>
        <w:t xml:space="preserve"> שקבע הקמעונאי.</w:t>
      </w:r>
    </w:p>
    <w:p w:rsidR="00842DC4" w:rsidRPr="009B0068" w:rsidRDefault="00842DC4" w:rsidP="00842DC4">
      <w:pPr>
        <w:pStyle w:val="ListParagraph"/>
        <w:numPr>
          <w:ilvl w:val="0"/>
          <w:numId w:val="3"/>
        </w:numPr>
        <w:bidi/>
        <w:spacing w:after="0" w:line="360" w:lineRule="auto"/>
        <w:jc w:val="both"/>
        <w:rPr>
          <w:rFonts w:ascii="David" w:hAnsi="David"/>
          <w:sz w:val="24"/>
        </w:rPr>
      </w:pPr>
      <w:r w:rsidRPr="009B0068">
        <w:rPr>
          <w:rFonts w:ascii="David" w:hAnsi="David"/>
          <w:sz w:val="24"/>
          <w:rtl/>
        </w:rPr>
        <w:t>מעורבותו של הספק הגדול בסידור מצרכים של קמעונאי גדול מוגבלת רק לסידור בפועל של המצרכים שלו והכל לפי ההוראות של הקמעונאי הגדול. מעורבות זאת כוללת סימון מחיר שקבע הקמעונאי הגדול, ניהול הזמנות וחידוש מלאי המצרכים.</w:t>
      </w:r>
    </w:p>
    <w:p w:rsidR="00842DC4" w:rsidRPr="009B0068" w:rsidRDefault="00842DC4" w:rsidP="00842DC4">
      <w:pPr>
        <w:pStyle w:val="ListParagraph"/>
        <w:numPr>
          <w:ilvl w:val="0"/>
          <w:numId w:val="3"/>
        </w:numPr>
        <w:bidi/>
        <w:spacing w:after="0" w:line="360" w:lineRule="auto"/>
        <w:jc w:val="both"/>
        <w:rPr>
          <w:rFonts w:ascii="David" w:hAnsi="David"/>
          <w:sz w:val="24"/>
        </w:rPr>
      </w:pPr>
      <w:r w:rsidRPr="009B0068">
        <w:rPr>
          <w:rFonts w:ascii="David" w:hAnsi="David"/>
          <w:sz w:val="24"/>
          <w:rtl/>
        </w:rPr>
        <w:t>פיקוח שוטף של הקמעונאי הגדול על כך שסידור המצרכים על ידי הספק הגדול נעשה בהתאם לאמור בסעיפים 1-2 לעיל.</w:t>
      </w:r>
    </w:p>
    <w:p w:rsidR="00842DC4" w:rsidRPr="009B0068" w:rsidRDefault="00842DC4" w:rsidP="00842DC4">
      <w:pPr>
        <w:bidi/>
        <w:spacing w:after="0" w:line="360" w:lineRule="auto"/>
        <w:rPr>
          <w:rtl/>
        </w:rPr>
      </w:pPr>
    </w:p>
    <w:p w:rsidR="00842DC4" w:rsidRPr="009B0068" w:rsidRDefault="00842DC4" w:rsidP="00842DC4">
      <w:pPr>
        <w:widowControl w:val="0"/>
        <w:bidi/>
        <w:spacing w:after="0" w:line="360" w:lineRule="auto"/>
        <w:contextualSpacing/>
        <w:jc w:val="both"/>
        <w:rPr>
          <w:rtl/>
        </w:rPr>
      </w:pPr>
      <w:r w:rsidRPr="009B0068">
        <w:rPr>
          <w:rtl/>
        </w:rPr>
        <w:t>האיסור בחוק על ספק גדול להתערב בסידור מצרכים אצל קמעונאי גדול נועד בראש ובראשונה למנוע מצב שבו סידור המצרכים במדף על ידי ספק גדול יביא לדחיקתם מהחנויות של מצרכים שמספקים ספקים קטנים, מה שיחליש את התחרות בין ספקי המזון על ליבו של הצרכן. כאשר קטגוריות מוצר רבות מאופיינות במיעוט שחקנים ובריכוזיות גבוהה, קיים חשש ששליטה של ספק גדול בסידור המוצרים במדף תביא להפחתת התחרות באותה קטגורית מוצר ותקשה על כניסתם של ספקים קטנים לחנויות.</w:t>
      </w:r>
    </w:p>
    <w:p w:rsidR="00842DC4" w:rsidRPr="009B0068" w:rsidRDefault="00842DC4" w:rsidP="00842DC4">
      <w:pPr>
        <w:widowControl w:val="0"/>
        <w:bidi/>
        <w:spacing w:after="0" w:line="360" w:lineRule="auto"/>
        <w:contextualSpacing/>
        <w:jc w:val="both"/>
        <w:rPr>
          <w:rtl/>
        </w:rPr>
      </w:pPr>
      <w:r w:rsidRPr="009B0068">
        <w:rPr>
          <w:rtl/>
        </w:rPr>
        <w:t xml:space="preserve">לאחר בחינה של פטור הסדרנות, הממונה הגיעה למסקנה שפטור הסדרנות בנוסחו הנוכחי אינו משיג את מטרתו באופן מלא. לפיכך, מוצע לקבוע שהחל מיום 1 בינואר 2025, יתאפשר סידור מצרכים על ידי ספקים גדולים רק אצל קמעונאי שסך המכירות של ספקים שאינם גדולים בכלל חנויותיו (למעט מכירות של פירות וירקות טריים) עומד על לפחות חמישים וחמישה אחוזים, כאשר שיעור זה יעלה בכל שנה בנקודת אחוז ועד לשישים אחוז. מוצרי </w:t>
      </w:r>
      <w:r w:rsidRPr="009B0068">
        <w:rPr>
          <w:rtl/>
        </w:rPr>
        <w:lastRenderedPageBreak/>
        <w:t>מותג פרטי שיוצרו על ידי ספק גדול לא יכללו בסך המכירות של ספקים שאינם גדולים, בדומה לתיקון חוק המזון בסעיף 17(ב1) לחוק המזון בעניין פתיחת חנות של קמעונאי גדול.</w:t>
      </w:r>
    </w:p>
    <w:p w:rsidR="00842DC4" w:rsidRPr="009B0068" w:rsidRDefault="00842DC4" w:rsidP="00842DC4">
      <w:pPr>
        <w:widowControl w:val="0"/>
        <w:bidi/>
        <w:spacing w:after="0" w:line="360" w:lineRule="auto"/>
        <w:contextualSpacing/>
        <w:jc w:val="both"/>
        <w:rPr>
          <w:rtl/>
        </w:rPr>
      </w:pPr>
      <w:r w:rsidRPr="009B0068">
        <w:rPr>
          <w:rtl/>
        </w:rPr>
        <w:t xml:space="preserve">השינוי המוצע יבטיח את התקיימות תכלית החקיקה – קיומה של תחרות על לבו של הצרכן במגוון המוצע במדפי הקמעונאים. שכן, לאחר השינוי קמעונאים גדולים שמוכרים מעט מצרכים של ספקים שאינם ספקים גדולים, לא יוכלו </w:t>
      </w:r>
      <w:proofErr w:type="spellStart"/>
      <w:r w:rsidRPr="009B0068">
        <w:rPr>
          <w:rtl/>
        </w:rPr>
        <w:t>להנות</w:t>
      </w:r>
      <w:proofErr w:type="spellEnd"/>
      <w:r w:rsidRPr="009B0068">
        <w:rPr>
          <w:rtl/>
        </w:rPr>
        <w:t xml:space="preserve"> מפטור הסדרנות וכך תתאפשר ביתר קלות כניסה של ספקים קטנים. אצל קמעונאים גדולים שמוכרים היקף מספק של מצרכי ספקים שאינם גדולים, תכלית החוק מתקיימת גם ללא איסור הסדרנות ולכן מוצע לתת את הפטור במקרה זה.</w:t>
      </w:r>
    </w:p>
    <w:p w:rsidR="00842DC4" w:rsidRPr="009B0068" w:rsidRDefault="00842DC4" w:rsidP="00842DC4">
      <w:pPr>
        <w:widowControl w:val="0"/>
        <w:bidi/>
        <w:spacing w:after="0" w:line="360" w:lineRule="auto"/>
        <w:contextualSpacing/>
        <w:jc w:val="both"/>
        <w:rPr>
          <w:rtl/>
        </w:rPr>
      </w:pPr>
      <w:r w:rsidRPr="009B0068">
        <w:rPr>
          <w:rtl/>
        </w:rPr>
        <w:t>עם זאת, מוצע להאריך את תוקף הפטור הנוכחי עד ליום 31 בדצמבר 2024, ולהחיל את הכללים החדשים החל מיום 1 בינואר 2025, משני טעמים עיקריים:</w:t>
      </w:r>
    </w:p>
    <w:p w:rsidR="00842DC4" w:rsidRPr="009B0068" w:rsidRDefault="00842DC4" w:rsidP="00842DC4">
      <w:pPr>
        <w:pStyle w:val="ListParagraph"/>
        <w:widowControl w:val="0"/>
        <w:numPr>
          <w:ilvl w:val="0"/>
          <w:numId w:val="4"/>
        </w:numPr>
        <w:bidi/>
        <w:spacing w:after="0" w:line="360" w:lineRule="auto"/>
        <w:contextualSpacing/>
        <w:jc w:val="both"/>
        <w:rPr>
          <w:rFonts w:ascii="David" w:hAnsi="David"/>
          <w:sz w:val="24"/>
        </w:rPr>
      </w:pPr>
      <w:r w:rsidRPr="009B0068">
        <w:rPr>
          <w:rFonts w:ascii="David" w:hAnsi="David"/>
          <w:sz w:val="24"/>
          <w:rtl/>
        </w:rPr>
        <w:t xml:space="preserve">הארכת הפטור הקיים </w:t>
      </w:r>
      <w:proofErr w:type="spellStart"/>
      <w:r w:rsidRPr="009B0068">
        <w:rPr>
          <w:rFonts w:ascii="David" w:hAnsi="David"/>
          <w:sz w:val="24"/>
          <w:rtl/>
        </w:rPr>
        <w:t>תתן</w:t>
      </w:r>
      <w:proofErr w:type="spellEnd"/>
      <w:r w:rsidRPr="009B0068">
        <w:rPr>
          <w:rFonts w:ascii="David" w:hAnsi="David"/>
          <w:sz w:val="24"/>
          <w:rtl/>
        </w:rPr>
        <w:t xml:space="preserve"> תמריץ לקמעונאים גדולים להגדיל את סך המכירות של ספקים שאינם גדולים בשנת 2024 בכדי לעמוד בתנאי הפטור לקראת שנת 2025. </w:t>
      </w:r>
    </w:p>
    <w:p w:rsidR="00842DC4" w:rsidRPr="009B0068" w:rsidRDefault="00842DC4" w:rsidP="00842DC4">
      <w:pPr>
        <w:pStyle w:val="ListParagraph"/>
        <w:widowControl w:val="0"/>
        <w:numPr>
          <w:ilvl w:val="0"/>
          <w:numId w:val="4"/>
        </w:numPr>
        <w:bidi/>
        <w:spacing w:after="0" w:line="360" w:lineRule="auto"/>
        <w:contextualSpacing/>
        <w:jc w:val="both"/>
        <w:rPr>
          <w:rFonts w:ascii="David" w:hAnsi="David"/>
          <w:sz w:val="24"/>
          <w:rtl/>
        </w:rPr>
      </w:pPr>
      <w:r w:rsidRPr="009B0068">
        <w:rPr>
          <w:rFonts w:ascii="David" w:hAnsi="David"/>
          <w:sz w:val="24"/>
          <w:rtl/>
        </w:rPr>
        <w:t>הארכת הפטור תאפשר לקמעונאים גדולים שלא יעמדו בתנאי הפטור החל משנת 2025 להתארגן על הקמת מערך סידור מצרכים עצמאי.</w:t>
      </w:r>
    </w:p>
    <w:p w:rsidR="00842DC4" w:rsidRPr="009B0068" w:rsidRDefault="00842DC4" w:rsidP="00842DC4">
      <w:pPr>
        <w:widowControl w:val="0"/>
        <w:bidi/>
        <w:spacing w:after="0" w:line="360" w:lineRule="auto"/>
        <w:contextualSpacing/>
        <w:jc w:val="both"/>
      </w:pPr>
    </w:p>
    <w:p w:rsidR="005F3FE2" w:rsidRPr="009B0068" w:rsidRDefault="00CC761A"/>
    <w:sectPr w:rsidR="005F3FE2" w:rsidRPr="009B0068" w:rsidSect="006036E1">
      <w:pgSz w:w="11906" w:h="16838"/>
      <w:pgMar w:top="1701" w:right="1134" w:bottom="1417" w:left="1134"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5A2B35"/>
    <w:multiLevelType w:val="hybridMultilevel"/>
    <w:tmpl w:val="F61ADD04"/>
    <w:lvl w:ilvl="0" w:tplc="EFC26F30">
      <w:start w:val="1"/>
      <w:numFmt w:val="hebrew1"/>
      <w:pStyle w:val="Heading4"/>
      <w:suff w:val="space"/>
      <w:lvlText w:val="%1."/>
      <w:lvlJc w:val="left"/>
      <w:pPr>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66E7C51"/>
    <w:multiLevelType w:val="hybridMultilevel"/>
    <w:tmpl w:val="7F5429A0"/>
    <w:lvl w:ilvl="0" w:tplc="2F92487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6652E0"/>
    <w:multiLevelType w:val="hybridMultilevel"/>
    <w:tmpl w:val="EBB407C8"/>
    <w:lvl w:ilvl="0" w:tplc="0409000F">
      <w:start w:val="1"/>
      <w:numFmt w:val="decimal"/>
      <w:lvlText w:val="%1."/>
      <w:lvlJc w:val="left"/>
      <w:pPr>
        <w:tabs>
          <w:tab w:val="num" w:pos="720"/>
        </w:tabs>
        <w:ind w:left="720" w:firstLine="0"/>
      </w:pPr>
      <w:rPr>
        <w:rFonts w:hint="default"/>
      </w:rPr>
    </w:lvl>
    <w:lvl w:ilvl="1" w:tplc="D3D4E8B2">
      <w:start w:val="1"/>
      <w:numFmt w:val="decimal"/>
      <w:lvlText w:val="(%2)"/>
      <w:lvlJc w:val="left"/>
      <w:pPr>
        <w:tabs>
          <w:tab w:val="num" w:pos="1344"/>
        </w:tabs>
        <w:ind w:left="720" w:firstLine="0"/>
      </w:pPr>
      <w:rPr>
        <w:rFonts w:hint="default"/>
      </w:rPr>
    </w:lvl>
    <w:lvl w:ilvl="2" w:tplc="5D2AB1E4">
      <w:start w:val="1"/>
      <w:numFmt w:val="hebrew1"/>
      <w:lvlText w:val="(%3)"/>
      <w:lvlJc w:val="left"/>
      <w:pPr>
        <w:tabs>
          <w:tab w:val="num" w:pos="1344"/>
        </w:tabs>
        <w:ind w:left="720" w:firstLine="0"/>
      </w:pPr>
      <w:rPr>
        <w:rFonts w:hint="default"/>
      </w:rPr>
    </w:lvl>
    <w:lvl w:ilvl="3" w:tplc="1F820BA4">
      <w:start w:val="1"/>
      <w:numFmt w:val="hebrew1"/>
      <w:lvlRestart w:val="0"/>
      <w:lvlText w:val="(%4)"/>
      <w:lvlJc w:val="left"/>
      <w:pPr>
        <w:tabs>
          <w:tab w:val="num" w:pos="1344"/>
        </w:tabs>
        <w:ind w:left="720" w:firstLine="0"/>
      </w:pPr>
      <w:rPr>
        <w:rFonts w:hint="default"/>
      </w:rPr>
    </w:lvl>
    <w:lvl w:ilvl="4" w:tplc="62C6E096">
      <w:start w:val="1"/>
      <w:numFmt w:val="decimal"/>
      <w:lvlRestart w:val="0"/>
      <w:lvlText w:val="(%5)"/>
      <w:lvlJc w:val="left"/>
      <w:pPr>
        <w:tabs>
          <w:tab w:val="num" w:pos="4584"/>
        </w:tabs>
        <w:ind w:left="3960" w:firstLine="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753C544D"/>
    <w:multiLevelType w:val="hybridMultilevel"/>
    <w:tmpl w:val="EBB407C8"/>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DC4"/>
    <w:rsid w:val="002C37ED"/>
    <w:rsid w:val="0032691A"/>
    <w:rsid w:val="004B1043"/>
    <w:rsid w:val="005E03E7"/>
    <w:rsid w:val="00823C97"/>
    <w:rsid w:val="00842DC4"/>
    <w:rsid w:val="009B0068"/>
    <w:rsid w:val="00AB273E"/>
    <w:rsid w:val="00C52823"/>
    <w:rsid w:val="00CC761A"/>
    <w:rsid w:val="00EC778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E80343-3D4A-457A-A80C-75A2C4C9B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2DC4"/>
    <w:rPr>
      <w:rFonts w:ascii="David" w:hAnsi="David" w:cs="David"/>
      <w:sz w:val="24"/>
      <w:szCs w:val="24"/>
    </w:rPr>
  </w:style>
  <w:style w:type="paragraph" w:styleId="Heading1">
    <w:name w:val="heading 1"/>
    <w:basedOn w:val="Normal"/>
    <w:next w:val="Normal"/>
    <w:link w:val="Heading1Char"/>
    <w:uiPriority w:val="9"/>
    <w:qFormat/>
    <w:rsid w:val="00842DC4"/>
    <w:pPr>
      <w:keepNext/>
      <w:keepLines/>
      <w:spacing w:before="240"/>
      <w:jc w:val="center"/>
      <w:outlineLvl w:val="0"/>
    </w:pPr>
    <w:rPr>
      <w:rFonts w:asciiTheme="majorHAnsi" w:eastAsiaTheme="majorEastAsia" w:hAnsiTheme="majorHAnsi"/>
      <w:bCs/>
      <w:sz w:val="32"/>
      <w:szCs w:val="36"/>
    </w:rPr>
  </w:style>
  <w:style w:type="paragraph" w:styleId="Heading4">
    <w:name w:val="heading 4"/>
    <w:basedOn w:val="Normal"/>
    <w:next w:val="Normal"/>
    <w:link w:val="Heading4Char"/>
    <w:uiPriority w:val="9"/>
    <w:unhideWhenUsed/>
    <w:qFormat/>
    <w:rsid w:val="00842DC4"/>
    <w:pPr>
      <w:numPr>
        <w:numId w:val="1"/>
      </w:numPr>
      <w:spacing w:before="40" w:after="120"/>
      <w:outlineLvl w:val="3"/>
    </w:pPr>
    <w:rPr>
      <w:b/>
      <w:bCs/>
      <w:color w:val="000000" w:themeColor="text1"/>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DC4"/>
    <w:rPr>
      <w:rFonts w:asciiTheme="majorHAnsi" w:eastAsiaTheme="majorEastAsia" w:hAnsiTheme="majorHAnsi" w:cs="David"/>
      <w:bCs/>
      <w:sz w:val="32"/>
      <w:szCs w:val="36"/>
    </w:rPr>
  </w:style>
  <w:style w:type="character" w:customStyle="1" w:styleId="Heading4Char">
    <w:name w:val="Heading 4 Char"/>
    <w:basedOn w:val="DefaultParagraphFont"/>
    <w:link w:val="Heading4"/>
    <w:uiPriority w:val="9"/>
    <w:rsid w:val="00842DC4"/>
    <w:rPr>
      <w:rFonts w:ascii="David" w:hAnsi="David" w:cs="David"/>
      <w:b/>
      <w:bCs/>
      <w:color w:val="000000" w:themeColor="text1"/>
      <w:sz w:val="24"/>
      <w:szCs w:val="28"/>
    </w:rPr>
  </w:style>
  <w:style w:type="paragraph" w:customStyle="1" w:styleId="TableText">
    <w:name w:val="Table Text"/>
    <w:basedOn w:val="Normal"/>
    <w:rsid w:val="00842DC4"/>
    <w:pPr>
      <w:keepLines/>
      <w:tabs>
        <w:tab w:val="left" w:pos="624"/>
        <w:tab w:val="left" w:pos="1247"/>
      </w:tabs>
      <w:snapToGrid w:val="0"/>
    </w:pPr>
    <w:rPr>
      <w:rFonts w:ascii="Arial" w:eastAsia="Arial Unicode MS" w:hAnsi="Arial"/>
      <w:snapToGrid w:val="0"/>
      <w:sz w:val="20"/>
      <w:szCs w:val="26"/>
    </w:rPr>
  </w:style>
  <w:style w:type="paragraph" w:customStyle="1" w:styleId="TableSideHeading">
    <w:name w:val="Table SideHeading"/>
    <w:basedOn w:val="TableText"/>
    <w:rsid w:val="00842DC4"/>
    <w:pPr>
      <w:outlineLvl w:val="2"/>
    </w:pPr>
  </w:style>
  <w:style w:type="paragraph" w:customStyle="1" w:styleId="TableBlock">
    <w:name w:val="Table Block"/>
    <w:basedOn w:val="TableText"/>
    <w:rsid w:val="00842DC4"/>
    <w:pPr>
      <w:jc w:val="both"/>
    </w:pPr>
  </w:style>
  <w:style w:type="paragraph" w:customStyle="1" w:styleId="TableHead">
    <w:name w:val="Table Head"/>
    <w:basedOn w:val="TableText"/>
    <w:rsid w:val="00842DC4"/>
    <w:pPr>
      <w:jc w:val="center"/>
      <w:outlineLvl w:val="1"/>
    </w:pPr>
    <w:rPr>
      <w:b/>
      <w:bCs/>
    </w:rPr>
  </w:style>
  <w:style w:type="paragraph" w:customStyle="1" w:styleId="HeadMitparsemetBaze">
    <w:name w:val="Head MitparsemetBaze"/>
    <w:basedOn w:val="Normal"/>
    <w:rsid w:val="00842DC4"/>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Normal"/>
    <w:rsid w:val="00842DC4"/>
    <w:pPr>
      <w:keepNext/>
      <w:keepLines/>
      <w:snapToGrid w:val="0"/>
      <w:spacing w:before="240"/>
      <w:jc w:val="center"/>
      <w:outlineLvl w:val="0"/>
    </w:pPr>
    <w:rPr>
      <w:rFonts w:ascii="Arial" w:eastAsia="Arial Unicode MS" w:hAnsi="Arial"/>
      <w:b/>
      <w:bCs/>
      <w:snapToGrid w:val="0"/>
      <w:sz w:val="20"/>
      <w:szCs w:val="26"/>
    </w:rPr>
  </w:style>
  <w:style w:type="paragraph" w:customStyle="1" w:styleId="HeadDivreiHesber">
    <w:name w:val="Head DivreiHesber"/>
    <w:basedOn w:val="Normal"/>
    <w:rsid w:val="00842DC4"/>
    <w:pPr>
      <w:snapToGrid w:val="0"/>
      <w:spacing w:before="360" w:after="120"/>
      <w:jc w:val="center"/>
      <w:outlineLvl w:val="1"/>
    </w:pPr>
    <w:rPr>
      <w:rFonts w:ascii="Arial" w:eastAsia="Arial Unicode MS" w:hAnsi="Arial"/>
      <w:b/>
      <w:snapToGrid w:val="0"/>
      <w:spacing w:val="40"/>
      <w:sz w:val="20"/>
      <w:szCs w:val="26"/>
    </w:rPr>
  </w:style>
  <w:style w:type="paragraph" w:styleId="ListParagraph">
    <w:name w:val="List Paragraph"/>
    <w:basedOn w:val="Normal"/>
    <w:uiPriority w:val="34"/>
    <w:qFormat/>
    <w:rsid w:val="00842DC4"/>
    <w:rPr>
      <w:rFonts w:asciiTheme="minorHAnsi" w:hAnsiTheme="minorHAnsi"/>
      <w:sz w:val="22"/>
    </w:rPr>
  </w:style>
  <w:style w:type="paragraph" w:customStyle="1" w:styleId="P00">
    <w:name w:val="P00"/>
    <w:rsid w:val="00842DC4"/>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after="0" w:line="240" w:lineRule="auto"/>
      <w:ind w:left="2835"/>
      <w:jc w:val="both"/>
    </w:pPr>
    <w:rPr>
      <w:rFonts w:ascii="Times New Roman" w:eastAsia="Times New Roman" w:hAnsi="Times New Roman" w:cs="Times New Roman"/>
      <w:noProof/>
      <w:sz w:val="20"/>
      <w:szCs w:val="26"/>
      <w:lang w:eastAsia="he-IL"/>
    </w:rPr>
  </w:style>
  <w:style w:type="character" w:customStyle="1" w:styleId="default">
    <w:name w:val="default"/>
    <w:rsid w:val="00842DC4"/>
    <w:rPr>
      <w:rFonts w:ascii="Times New Roman" w:hAnsi="Times New Roman" w:cs="Times New Roman"/>
      <w:sz w:val="26"/>
      <w:szCs w:val="26"/>
    </w:rPr>
  </w:style>
  <w:style w:type="character" w:styleId="CommentReference">
    <w:name w:val="annotation reference"/>
    <w:basedOn w:val="DefaultParagraphFont"/>
    <w:uiPriority w:val="99"/>
    <w:semiHidden/>
    <w:unhideWhenUsed/>
    <w:rsid w:val="00823C97"/>
    <w:rPr>
      <w:sz w:val="16"/>
      <w:szCs w:val="16"/>
    </w:rPr>
  </w:style>
  <w:style w:type="paragraph" w:styleId="CommentText">
    <w:name w:val="annotation text"/>
    <w:basedOn w:val="Normal"/>
    <w:link w:val="CommentTextChar"/>
    <w:uiPriority w:val="99"/>
    <w:semiHidden/>
    <w:unhideWhenUsed/>
    <w:rsid w:val="00823C97"/>
    <w:pPr>
      <w:spacing w:line="240" w:lineRule="auto"/>
    </w:pPr>
    <w:rPr>
      <w:sz w:val="20"/>
      <w:szCs w:val="20"/>
    </w:rPr>
  </w:style>
  <w:style w:type="character" w:customStyle="1" w:styleId="CommentTextChar">
    <w:name w:val="Comment Text Char"/>
    <w:basedOn w:val="DefaultParagraphFont"/>
    <w:link w:val="CommentText"/>
    <w:uiPriority w:val="99"/>
    <w:semiHidden/>
    <w:rsid w:val="00823C97"/>
    <w:rPr>
      <w:rFonts w:ascii="David" w:hAnsi="David" w:cs="David"/>
      <w:sz w:val="20"/>
      <w:szCs w:val="20"/>
    </w:rPr>
  </w:style>
  <w:style w:type="paragraph" w:styleId="CommentSubject">
    <w:name w:val="annotation subject"/>
    <w:basedOn w:val="CommentText"/>
    <w:next w:val="CommentText"/>
    <w:link w:val="CommentSubjectChar"/>
    <w:uiPriority w:val="99"/>
    <w:semiHidden/>
    <w:unhideWhenUsed/>
    <w:rsid w:val="00823C97"/>
    <w:rPr>
      <w:b/>
      <w:bCs/>
    </w:rPr>
  </w:style>
  <w:style w:type="character" w:customStyle="1" w:styleId="CommentSubjectChar">
    <w:name w:val="Comment Subject Char"/>
    <w:basedOn w:val="CommentTextChar"/>
    <w:link w:val="CommentSubject"/>
    <w:uiPriority w:val="99"/>
    <w:semiHidden/>
    <w:rsid w:val="00823C97"/>
    <w:rPr>
      <w:rFonts w:ascii="David" w:hAnsi="David" w:cs="David"/>
      <w:b/>
      <w:bCs/>
      <w:sz w:val="20"/>
      <w:szCs w:val="20"/>
    </w:rPr>
  </w:style>
  <w:style w:type="paragraph" w:styleId="BalloonText">
    <w:name w:val="Balloon Text"/>
    <w:basedOn w:val="Normal"/>
    <w:link w:val="BalloonTextChar"/>
    <w:uiPriority w:val="99"/>
    <w:semiHidden/>
    <w:unhideWhenUsed/>
    <w:rsid w:val="00823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3C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1242</Words>
  <Characters>6210</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Rashut_domain</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Moshe Lau</dc:creator>
  <cp:keywords/>
  <dc:description/>
  <cp:lastModifiedBy>Melita Shafir</cp:lastModifiedBy>
  <cp:revision>2</cp:revision>
  <dcterms:created xsi:type="dcterms:W3CDTF">2024-03-14T08:01:00Z</dcterms:created>
  <dcterms:modified xsi:type="dcterms:W3CDTF">2024-03-14T08:01:00Z</dcterms:modified>
</cp:coreProperties>
</file>